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2860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86000" cy="800100"/>
                    </a:xfrm>
                    <a:prstGeom prst="rect">
                      <a:avLst/>
                    </a:prstGeom>
                  </pic:spPr>
                </pic:pic>
              </a:graphicData>
            </a:graphic>
          </wp:inline>
        </w:drawing>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none" w:color="FFFFFF" w:sz="0"/>
              <w:bottom w:val="none" w:color="FFFFFF" w:sz="0"/>
              <w:right w:val="none" w:color="FFFFFF" w:sz="0"/>
            </w:tcBorders>
            <w:shd w:fill="0D2A78" w:color="auto" w:val="clear"/>
            <w:tcMar>
              <w:top w:type="dxa" w:w="50"/>
              <w:left w:type="dxa" w:w="100"/>
              <w:bottom w:type="dxa" w:w="50"/>
              <w:right w:type="dxa" w:w="100"/>
            </w:tcMar>
            <w:vAlign w:val="center"/>
          </w:tcPr>
          <w:p>
            <w:pPr>
              <w:spacing w:after="40" w:before="120"/>
            </w:pPr>
            <w:r>
              <w:rPr>
                <w:rFonts w:ascii="Arial" w:cs="Arial" w:eastAsia="Arial" w:hAnsi="Arial"/>
                <w:b/>
                <w:bCs/>
                <w:color w:val="7AC1EA"/>
                <w:sz w:val="26"/>
                <w:szCs w:val="26"/>
              </w:rPr>
              <w:t xml:space="preserve">THE SPM CREDIT UNION</w:t>
            </w:r>
          </w:p>
          <w:p>
            <w:pPr>
              <w:spacing w:after="60"/>
            </w:pPr>
            <w:r>
              <w:rPr>
                <w:rFonts w:ascii="Arial" w:cs="Arial" w:eastAsia="Arial" w:hAnsi="Arial"/>
                <w:b/>
                <w:bCs/>
                <w:color w:val="FFFFFF"/>
                <w:sz w:val="44"/>
                <w:szCs w:val="44"/>
              </w:rPr>
              <w:t xml:space="preserve">MERGER DUE DILIGENCE ESSENTIALS</w:t>
            </w:r>
          </w:p>
          <w:p>
            <w:pPr>
              <w:spacing w:after="120"/>
            </w:pPr>
            <w:r>
              <w:rPr>
                <w:rFonts w:ascii="Arial" w:cs="Arial" w:eastAsia="Arial" w:hAnsi="Arial"/>
                <w:b/>
                <w:bCs/>
                <w:color w:val="7AC1EA"/>
                <w:sz w:val="24"/>
                <w:szCs w:val="24"/>
              </w:rPr>
              <w:t xml:space="preserve">MERGING PARTNER EDITION</w:t>
            </w:r>
          </w:p>
          <w:p>
            <w:pPr>
              <w:spacing w:after="120"/>
            </w:pPr>
            <w:r>
              <w:rPr>
                <w:rFonts w:ascii="Arial" w:cs="Arial" w:eastAsia="Arial" w:hAnsi="Arial"/>
                <w:color w:val="FFFFFF"/>
                <w:sz w:val="22"/>
                <w:szCs w:val="22"/>
              </w:rPr>
              <w:t xml:space="preserve">What the merging credit union must confirm for its members, staff and community before it signs.</w:t>
            </w:r>
          </w:p>
        </w:tc>
      </w:tr>
      <w:tr>
        <w:tc>
          <w:tcPr>
            <w:tcW w:type="dxa" w:w="10080"/>
            <w:tcBorders>
              <w:top w:val="none" w:color="FFFFFF" w:sz="0"/>
              <w:left w:val="none" w:color="FFFFFF" w:sz="0"/>
              <w:bottom w:val="none" w:color="FFFFFF" w:sz="0"/>
              <w:right w:val="none" w:color="FFFFFF" w:sz="0"/>
            </w:tcBorders>
            <w:shd w:fill="3F9CD4"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For the CEO, board and merger committee of the merging credit union</w:t>
            </w:r>
          </w:p>
        </w:tc>
      </w:tr>
    </w:tbl>
    <w:p>
      <w:pPr>
        <w:keepNext w:val="false"/>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7380"/>
      </w:tblGrid>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Surviving credit union</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Merging credit union</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Due diligence lead</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Data as of</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r>
        <w:trPr>
          <w:cantSplit/>
        </w:trPr>
        <w:tc>
          <w:tcPr>
            <w:tcW w:type="dxa" w:w="27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Review period</w:t>
            </w:r>
          </w:p>
        </w:tc>
        <w:tc>
          <w:tcPr>
            <w:tcW w:type="dxa" w:w="7380"/>
            <w:tcBorders>
              <w:top w:val="single" w:color="BFC2C7" w:sz="4"/>
              <w:left w:val="single" w:color="BFC2C7" w:sz="4"/>
              <w:bottom w:val="single" w:color="BFC2C7" w:sz="4"/>
              <w:right w:val="single" w:color="BFC2C7" w:sz="4"/>
            </w:tcBorders>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r>
    </w:tbl>
    <w:p>
      <w:pPr>
        <w:pStyle w:val="Heading1"/>
        <w:keepNext/>
        <w:pBdr>
          <w:bottom w:val="single" w:color="7AC1EA" w:sz="12" w:space="4"/>
        </w:pBdr>
        <w:spacing w:after="140" w:before="320"/>
      </w:pPr>
      <w:r>
        <w:rPr>
          <w:rFonts w:ascii="Arial" w:cs="Arial" w:eastAsia="Arial" w:hAnsi="Arial"/>
          <w:b/>
          <w:bCs/>
          <w:color w:val="0D2A78"/>
          <w:sz w:val="30"/>
          <w:szCs w:val="30"/>
        </w:rPr>
        <w:t xml:space="preserve">How to use this checklist</w:t>
      </w:r>
    </w:p>
    <w:p>
      <w:pPr>
        <w:pStyle w:val="ListParagraph"/>
        <w:numPr>
          <w:ilvl w:val="0"/>
          <w:numId w:val="2"/>
        </w:numPr>
        <w:spacing w:after="100" w:line="276"/>
      </w:pPr>
      <w:r>
        <w:rPr>
          <w:rFonts w:ascii="Arial" w:cs="Arial" w:eastAsia="Arial" w:hAnsi="Arial"/>
          <w:b/>
          <w:bCs/>
          <w:color w:val="0D2A78"/>
          <w:sz w:val="20"/>
          <w:szCs w:val="20"/>
        </w:rPr>
        <w:t xml:space="preserve">Start with the numbers. </w:t>
      </w:r>
      <w:r>
        <w:rPr>
          <w:rFonts w:ascii="Arial" w:cs="Arial" w:eastAsia="Arial" w:hAnsi="Arial"/>
          <w:color w:val="1F2937"/>
          <w:sz w:val="20"/>
          <w:szCs w:val="20"/>
        </w:rPr>
        <w:t xml:space="preserve">Run both charters in </w:t>
      </w:r>
      <w:hyperlink w:history="1" r:id="rIdurwwl4xtfovuycbpxo9zf">
        <w:r>
          <w:rPr>
            <w:rFonts w:ascii="Arial" w:cs="Arial" w:eastAsia="Arial" w:hAnsi="Arial"/>
            <w:b/>
            <w:bCs/>
            <w:color w:val="3F9CD4"/>
            <w:sz w:val="20"/>
            <w:szCs w:val="20"/>
            <w:u w:val="single"/>
          </w:rPr>
          <w:t xml:space="preserve">THE SPM CREDIT UNION MERGER ANALYSIS</w:t>
        </w:r>
      </w:hyperlink>
      <w:r>
        <w:rPr>
          <w:rFonts w:ascii="Arial" w:cs="Arial" w:eastAsia="Arial" w:hAnsi="Arial"/>
          <w:color w:val="1F2937"/>
          <w:sz w:val="20"/>
          <w:szCs w:val="20"/>
        </w:rPr>
        <w:t xml:space="preserve"> and review the Combined Balance Sheet. It shows what your members bring and what they join.</w:t>
      </w:r>
    </w:p>
    <w:p>
      <w:pPr>
        <w:pStyle w:val="ListParagraph"/>
        <w:numPr>
          <w:ilvl w:val="0"/>
          <w:numId w:val="2"/>
        </w:numPr>
        <w:spacing w:after="100" w:line="276"/>
      </w:pPr>
      <w:r>
        <w:rPr>
          <w:rFonts w:ascii="Arial" w:cs="Arial" w:eastAsia="Arial" w:hAnsi="Arial"/>
          <w:b/>
          <w:bCs/>
          <w:color w:val="0D2A78"/>
          <w:sz w:val="20"/>
          <w:szCs w:val="20"/>
        </w:rPr>
        <w:t xml:space="preserve">Ask for documents early. </w:t>
      </w:r>
      <w:r>
        <w:rPr>
          <w:rFonts w:ascii="Arial" w:cs="Arial" w:eastAsia="Arial" w:hAnsi="Arial"/>
          <w:color w:val="1F2937"/>
          <w:sz w:val="20"/>
          <w:szCs w:val="20"/>
        </w:rPr>
        <w:t xml:space="preserve">Due diligence runs both ways. Request the survivor's documents under a confidentiality agreement, just as it requests yours.</w:t>
      </w:r>
    </w:p>
    <w:p>
      <w:pPr>
        <w:pStyle w:val="ListParagraph"/>
        <w:numPr>
          <w:ilvl w:val="0"/>
          <w:numId w:val="2"/>
        </w:numPr>
        <w:spacing w:after="100" w:line="276"/>
      </w:pPr>
      <w:r>
        <w:rPr>
          <w:rFonts w:ascii="Arial" w:cs="Arial" w:eastAsia="Arial" w:hAnsi="Arial"/>
          <w:b/>
          <w:bCs/>
          <w:color w:val="0D2A78"/>
          <w:sz w:val="20"/>
          <w:szCs w:val="20"/>
        </w:rPr>
        <w:t xml:space="preserve">Talk to people from earlier mergers. </w:t>
      </w:r>
      <w:r>
        <w:rPr>
          <w:rFonts w:ascii="Arial" w:cs="Arial" w:eastAsia="Arial" w:hAnsi="Arial"/>
          <w:color w:val="1F2937"/>
          <w:sz w:val="20"/>
          <w:szCs w:val="20"/>
        </w:rPr>
        <w:t xml:space="preserve">Former directors, staff and members of credit unions the survivor absorbed are the best guide to what will really happen.</w:t>
      </w:r>
    </w:p>
    <w:p>
      <w:pPr>
        <w:pStyle w:val="ListParagraph"/>
        <w:numPr>
          <w:ilvl w:val="0"/>
          <w:numId w:val="2"/>
        </w:numPr>
        <w:spacing w:after="100" w:line="276"/>
      </w:pPr>
      <w:r>
        <w:rPr>
          <w:rFonts w:ascii="Arial" w:cs="Arial" w:eastAsia="Arial" w:hAnsi="Arial"/>
          <w:b/>
          <w:bCs/>
          <w:color w:val="0D2A78"/>
          <w:sz w:val="20"/>
          <w:szCs w:val="20"/>
        </w:rPr>
        <w:t xml:space="preserve">Do the critical items first. </w:t>
      </w:r>
      <w:r>
        <w:rPr>
          <w:rFonts w:ascii="Segoe UI Symbol" w:cs="Segoe UI Symbol" w:eastAsia="Segoe UI Symbol" w:hAnsi="Segoe UI Symbol"/>
          <w:color w:val="A61B1B"/>
          <w:sz w:val="16"/>
          <w:szCs w:val="16"/>
        </w:rPr>
        <w:t xml:space="preserve">◆ </w:t>
      </w:r>
      <w:r>
        <w:rPr>
          <w:rFonts w:ascii="Arial" w:cs="Arial" w:eastAsia="Arial" w:hAnsi="Arial"/>
          <w:color w:val="1F2937"/>
          <w:sz w:val="20"/>
          <w:szCs w:val="20"/>
        </w:rPr>
        <w:t xml:space="preserve">marks the 34 items most likely to change the terms or the decision.</w:t>
      </w:r>
    </w:p>
    <w:p>
      <w:pPr>
        <w:pStyle w:val="ListParagraph"/>
        <w:numPr>
          <w:ilvl w:val="0"/>
          <w:numId w:val="2"/>
        </w:numPr>
        <w:spacing w:after="100" w:line="276"/>
      </w:pPr>
      <w:r>
        <w:rPr>
          <w:rFonts w:ascii="Arial" w:cs="Arial" w:eastAsia="Arial" w:hAnsi="Arial"/>
          <w:b/>
          <w:bCs/>
          <w:color w:val="0D2A78"/>
          <w:sz w:val="20"/>
          <w:szCs w:val="20"/>
        </w:rPr>
        <w:t xml:space="preserve">Get it in writing. </w:t>
      </w:r>
      <w:r>
        <w:rPr>
          <w:rFonts w:ascii="Arial" w:cs="Arial" w:eastAsia="Arial" w:hAnsi="Arial"/>
          <w:color w:val="1F2937"/>
          <w:sz w:val="20"/>
          <w:szCs w:val="20"/>
        </w:rPr>
        <w:t xml:space="preserve">Close each area with a conclusion, and put every commitment to members, staff, branches, brand and board into the merger agreement.</w:t>
      </w:r>
    </w:p>
    <w:p>
      <w:pPr>
        <w:pageBreakBefore/>
      </w:pPr>
    </w:p>
    <w:p>
      <w:pPr>
        <w:pStyle w:val="Heading2"/>
        <w:keepNext/>
        <w:spacing w:after="100" w:before="260"/>
      </w:pPr>
      <w:r>
        <w:rPr>
          <w:rFonts w:ascii="Arial" w:cs="Arial" w:eastAsia="Arial" w:hAnsi="Arial"/>
          <w:b/>
          <w:bCs/>
          <w:color w:val="091B4F"/>
          <w:sz w:val="24"/>
          <w:szCs w:val="24"/>
        </w:rPr>
        <w:t xml:space="preserve">The 11 review areas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3500"/>
        <w:gridCol w:w="3880"/>
        <w:gridCol w:w="900"/>
        <w:gridCol w:w="116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35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Area</w:t>
            </w:r>
          </w:p>
        </w:tc>
        <w:tc>
          <w:tcPr>
            <w:tcW w:type="dxa" w:w="388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The question it answers</w:t>
            </w:r>
          </w:p>
        </w:tc>
        <w:tc>
          <w:tcPr>
            <w:tcW w:type="dxa" w:w="9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Items</w:t>
            </w:r>
          </w:p>
        </w:tc>
        <w:tc>
          <w:tcPr>
            <w:tcW w:type="dxa" w:w="116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Critical items</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The Survivor's Financial Strength</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Can they keep their promises to your members?</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7</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5</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2</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Regulatory Standing and Track Record</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How the survivor has behaved before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5</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2</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3</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Value to Members</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your members gain or lose</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9</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6</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4</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Branches and Community</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local presence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5</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2</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5</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Your People</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happens to your staff</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9</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5</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6</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Governance and Voice</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seat at the table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4</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7</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Brand and Identity</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name and heritage</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4</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1</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8</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Technology and Conversion</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members' day-to-day experience</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5</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3</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9</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Vendors and Contracts</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pays to unwind your contracts</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2</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10</w:t>
            </w:r>
          </w:p>
        </w:tc>
        <w:tc>
          <w:tcPr>
            <w:tcW w:type="dxa" w:w="35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The Merger Agreement</w:t>
            </w:r>
          </w:p>
        </w:tc>
        <w:tc>
          <w:tcPr>
            <w:tcW w:type="dxa" w:w="38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Get it in writing</w:t>
            </w:r>
          </w:p>
        </w:tc>
        <w:tc>
          <w:tcPr>
            <w:tcW w:type="dxa" w:w="9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2</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3F9CD4"/>
                <w:sz w:val="18"/>
                <w:szCs w:val="18"/>
              </w:rPr>
              <w:t xml:space="preserve">11</w:t>
            </w:r>
          </w:p>
        </w:tc>
        <w:tc>
          <w:tcPr>
            <w:tcW w:type="dxa" w:w="35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Fiduciary Duty, Regulatory Process and Member Vote</w:t>
            </w:r>
          </w:p>
        </w:tc>
        <w:tc>
          <w:tcPr>
            <w:tcW w:type="dxa" w:w="38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Doing right by your members</w:t>
            </w:r>
          </w:p>
        </w:tc>
        <w:tc>
          <w:tcPr>
            <w:tcW w:type="dxa" w:w="9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color w:val="1F2937"/>
                <w:sz w:val="18"/>
                <w:szCs w:val="18"/>
              </w:rPr>
              <w:t xml:space="preserve">6</w:t>
            </w:r>
          </w:p>
        </w:tc>
        <w:tc>
          <w:tcPr>
            <w:tcW w:type="dxa" w:w="116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Arial" w:cs="Arial" w:eastAsia="Arial" w:hAnsi="Arial"/>
                <w:b/>
                <w:bCs/>
                <w:color w:val="A61B1B"/>
                <w:sz w:val="18"/>
                <w:szCs w:val="18"/>
              </w:rPr>
              <w:t xml:space="preserve">5</w:t>
            </w:r>
          </w:p>
        </w:tc>
      </w:tr>
      <w:tr>
        <w:trPr>
          <w:cantSplit/>
        </w:trPr>
        <w:tc>
          <w:tcPr>
            <w:tcW w:type="dxa" w:w="8020"/>
            <w:gridSpan w:val="3"/>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Total</w:t>
            </w:r>
          </w:p>
        </w:tc>
        <w:tc>
          <w:tcPr>
            <w:tcW w:type="dxa" w:w="900"/>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8"/>
                <w:szCs w:val="18"/>
              </w:rPr>
              <w:t xml:space="preserve">66</w:t>
            </w:r>
          </w:p>
        </w:tc>
        <w:tc>
          <w:tcPr>
            <w:tcW w:type="dxa" w:w="1160"/>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jc w:val="center"/>
            </w:pPr>
            <w:r>
              <w:rPr>
                <w:rFonts w:ascii="Arial" w:cs="Arial" w:eastAsia="Arial" w:hAnsi="Arial"/>
                <w:b/>
                <w:bCs/>
                <w:color w:val="7AC1EA"/>
                <w:sz w:val="18"/>
                <w:szCs w:val="18"/>
              </w:rPr>
              <w:t xml:space="preserve">34</w:t>
            </w:r>
          </w:p>
        </w:tc>
      </w:tr>
    </w:tbl>
    <w:p>
      <w:pPr>
        <w:spacing w:after="100" w:before="100"/>
      </w:pPr>
      <w:r>
        <w:rPr>
          <w:rFonts w:ascii="Arial" w:cs="Arial" w:eastAsia="Arial" w:hAnsi="Arial"/>
          <w:b/>
          <w:bCs/>
          <w:color w:val="0D2A78"/>
          <w:sz w:val="18"/>
          <w:szCs w:val="18"/>
        </w:rPr>
        <w:t xml:space="preserve">Key: </w:t>
      </w:r>
      <w:r>
        <w:rPr>
          <w:rFonts w:ascii="Arial" w:cs="Arial" w:eastAsia="Arial" w:hAnsi="Arial"/>
          <w:b/>
          <w:bCs/>
          <w:color w:val="A61B1B"/>
          <w:sz w:val="18"/>
          <w:szCs w:val="18"/>
        </w:rPr>
        <w:t xml:space="preserve">Critical items</w:t>
      </w:r>
      <w:r>
        <w:rPr>
          <w:rFonts w:ascii="Arial" w:cs="Arial" w:eastAsia="Arial" w:hAnsi="Arial"/>
          <w:color w:val="1F2937"/>
          <w:sz w:val="18"/>
          <w:szCs w:val="18"/>
        </w:rPr>
        <w:t xml:space="preserve"> are the reviews most likely to change the price, the terms or the decision. Do them first. Each one is marked </w:t>
      </w:r>
      <w:r>
        <w:rPr>
          <w:rFonts w:ascii="Segoe UI Symbol" w:cs="Segoe UI Symbol" w:eastAsia="Segoe UI Symbol" w:hAnsi="Segoe UI Symbol"/>
          <w:color w:val="A61B1B"/>
          <w:sz w:val="16"/>
          <w:szCs w:val="16"/>
        </w:rPr>
        <w:t xml:space="preserve">◆ </w:t>
      </w:r>
      <w:r>
        <w:rPr>
          <w:rFonts w:ascii="Arial" w:cs="Arial" w:eastAsia="Arial" w:hAnsi="Arial"/>
          <w:color w:val="1F2937"/>
          <w:sz w:val="18"/>
          <w:szCs w:val="18"/>
        </w:rPr>
        <w:t xml:space="preserve">in the review tables below.</w:t>
      </w:r>
    </w:p>
    <w:p>
      <w:pPr>
        <w:pStyle w:val="Heading1"/>
        <w:keepNext/>
        <w:pBdr>
          <w:bottom w:val="single" w:color="7AC1EA" w:sz="12" w:space="4"/>
        </w:pBdr>
        <w:spacing w:after="140" w:before="320"/>
      </w:pPr>
      <w:r>
        <w:rPr>
          <w:rFonts w:ascii="Arial" w:cs="Arial" w:eastAsia="Arial" w:hAnsi="Arial"/>
          <w:b/>
          <w:bCs/>
          <w:color w:val="0D2A78"/>
          <w:sz w:val="30"/>
          <w:szCs w:val="30"/>
        </w:rPr>
        <w:t xml:space="preserve">Review areas</w:t>
      </w:r>
    </w:p>
    <w:p>
      <w:pPr>
        <w:pStyle w:val="Heading2"/>
        <w:keepNext/>
        <w:spacing w:after="100" w:before="260"/>
      </w:pPr>
      <w:r>
        <w:rPr>
          <w:rFonts w:ascii="Arial" w:cs="Arial" w:eastAsia="Arial" w:hAnsi="Arial"/>
          <w:b/>
          <w:bCs/>
          <w:color w:val="091B4F"/>
          <w:sz w:val="24"/>
          <w:szCs w:val="24"/>
        </w:rPr>
        <w:t xml:space="preserve">1. The Survivor's Financial Strength</w:t>
      </w:r>
      <w:r>
        <w:rPr>
          <w:rFonts w:ascii="Arial" w:cs="Arial" w:eastAsia="Arial" w:hAnsi="Arial"/>
          <w:color w:val="3F9CD4"/>
          <w:sz w:val="18"/>
          <w:szCs w:val="18"/>
        </w:rPr>
        <w:t xml:space="preserve">   Can they keep their promises to your members?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Audited financial statements and management letters, 3 years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Clean opinion, material weaknesses and auditor changes.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Call Reports, last 8 quarters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Earnings, efficiency and growth trends. Run both charters in the SPM Merger Analysis.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Net worth trend and combined capital after the merger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Whether your members' equity strengthens the survivor or covers its weaknesses. Check the Combined Balance Sheet after merger accounting.</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Earnings quality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Return on assets, reliance on fee income and one-time gains.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Credit quality and allowance for credit losses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Delinquency, charge-offs, concentrations and whether the reserve keeps pace.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Liquidity and interest rate risk</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Funding sources, borrowing reliance, unrealized securities losses and rate shock results.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Strategic plan and budget</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Where the survivor is headed and how your members fit into it.</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2. Regulatory Standing and Track Record</w:t>
      </w:r>
      <w:r>
        <w:rPr>
          <w:rFonts w:ascii="Arial" w:cs="Arial" w:eastAsia="Arial" w:hAnsi="Arial"/>
          <w:color w:val="3F9CD4"/>
          <w:sz w:val="18"/>
          <w:szCs w:val="18"/>
        </w:rPr>
        <w:t xml:space="preserve">   How the survivor has behaved before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Examination standing</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Summary of exam results and any open Documents of Resolution or enforcement actions, shared as NCUA confidentiality rules allow.</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Litigation and consumer complaints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Pending suits, complaint themes and reputation in its markets.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Track record with earlier mergers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happened to branches, staff, products, brand and board seats after past mergers. Talk to former directors, staff and members of those credit unions.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Conversion history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Problems members faced in past systems conversions.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2.5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Community reputation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Local standing, community involvement and press coverage.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2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3. Value to Members</w:t>
      </w:r>
      <w:r>
        <w:rPr>
          <w:rFonts w:ascii="Arial" w:cs="Arial" w:eastAsia="Arial" w:hAnsi="Arial"/>
          <w:color w:val="3F9CD4"/>
          <w:sz w:val="18"/>
          <w:szCs w:val="18"/>
        </w:rPr>
        <w:t xml:space="preserve">   What your members gain or lose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Product mapping</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product you offer mapped to a survivor product. Anything that disappears.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Savings and certificate rates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Dividend rates against yours, and how certificates are honored to maturity.</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Loan rates and terms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Pricing and underwriting against yours, especially for members with lower credit scores.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Fee schedule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Fees your members would pay that they do not pay today.</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Member eligibility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current member, and select employee group, stays eligible under the survivor's field of membership.</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Special dividend or equity distribution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Whether your higher net worth, if any, comes back to members before the merger.</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Account changes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New account numbers, routing number, cards, checks, direct deposits and automatic payments.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Digital banking and service channels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Online and mobile features, call center hours, shared branching and ATMs.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3.9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Member insurance and protection products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Changes to credit life, GAP, debt protection and account insurance coverage.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3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4. Branches and Community</w:t>
      </w:r>
      <w:r>
        <w:rPr>
          <w:rFonts w:ascii="Arial" w:cs="Arial" w:eastAsia="Arial" w:hAnsi="Arial"/>
          <w:color w:val="3F9CD4"/>
          <w:sz w:val="18"/>
          <w:szCs w:val="18"/>
        </w:rPr>
        <w:t xml:space="preserve">   Your local presence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Branch commitments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Which branches stay open, and for how long, in writing.</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Local decision-making</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Local lending authority, local leadership and a regional advisory board.</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Community programs and sponsorships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Which commitments continue and for how long.</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Charitable and foundation commitments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Scholarships, grants and foundation assets.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4.5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ATM and service access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ATMs, drive-ups and service hours in your communities.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4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5. Your People</w:t>
      </w:r>
      <w:r>
        <w:rPr>
          <w:rFonts w:ascii="Arial" w:cs="Arial" w:eastAsia="Arial" w:hAnsi="Arial"/>
          <w:color w:val="3F9CD4"/>
          <w:sz w:val="18"/>
          <w:szCs w:val="18"/>
        </w:rPr>
        <w:t xml:space="preserve">   What happens to your staff</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Employment commitments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Job guarantees and their length, and how roles are mapped.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Pay comparison</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Salary ranges, incentives and pay grade placement.</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Retirement plans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Vesting, service credit, employer match and pension or 401(k) transition.</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Health and welfare benefits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Premiums, deductibles and coverage against yours.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Paid time off and seniority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Carryover of balances and recognition of years of service.</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Severance for affected staff</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qualifies, how much and outplacement support.</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5.7</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Retention bonuses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For staff needed through conversion.</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5.8</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Culture, leadership and career paths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Leadership style, training, promotion paths and staff survey results.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5.9</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Executive roles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Titles, reporting lines and any merger-related financial arrangements, which must be disclosed to members.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5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6. Governance and Voice</w:t>
      </w:r>
      <w:r>
        <w:rPr>
          <w:rFonts w:ascii="Arial" w:cs="Arial" w:eastAsia="Arial" w:hAnsi="Arial"/>
          <w:color w:val="3F9CD4"/>
          <w:sz w:val="18"/>
          <w:szCs w:val="18"/>
        </w:rPr>
        <w:t xml:space="preserve">   Your seat at the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Board seats for your directors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Number of seats, length of terms and committee roles.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Survivor's bylaws and board elections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How directors are nominated and elected after the transition period.</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Advisory board or member council</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Authority, membership and how long it lasts.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6.4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Supervisory committee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Representation and audit oversight.</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6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7. Brand and Identity</w:t>
      </w:r>
      <w:r>
        <w:rPr>
          <w:rFonts w:ascii="Arial" w:cs="Arial" w:eastAsia="Arial" w:hAnsi="Arial"/>
          <w:color w:val="3F9CD4"/>
          <w:sz w:val="18"/>
          <w:szCs w:val="18"/>
        </w:rPr>
        <w:t xml:space="preserve">   Your name and heritage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Name of the combined credit union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Survivor name, new name or yours kept as a regional brand.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Brand transition timeline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Signage, cards, website and marketing, and the cost.</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Heritage and history</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How your history, employer or community roots are honored.</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7.4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Trademarks and domain names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Ownership, transfer and redirects.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7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8. Technology and Conversion</w:t>
      </w:r>
      <w:r>
        <w:rPr>
          <w:rFonts w:ascii="Arial" w:cs="Arial" w:eastAsia="Arial" w:hAnsi="Arial"/>
          <w:color w:val="3F9CD4"/>
          <w:sz w:val="18"/>
          <w:szCs w:val="18"/>
        </w:rPr>
        <w:t xml:space="preserve">   Your members' day-to-day experience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Survivor's core and digital platforms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Capability against yours, and planned upgrades.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Conversion plan and date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Timeline, test runs, staffing and contingency plans.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Member impact at conversion</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New logins, bill pay setup, statements, card reissue and blackout periods.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Data migration and history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Transaction history, documents and statements carried over.</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8.5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Cybersecurity posture</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Security program, incident history and recent assessments.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8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9. Vendors and Contracts</w:t>
      </w:r>
      <w:r>
        <w:rPr>
          <w:rFonts w:ascii="Arial" w:cs="Arial" w:eastAsia="Arial" w:hAnsi="Arial"/>
          <w:color w:val="3F9CD4"/>
          <w:sz w:val="18"/>
          <w:szCs w:val="18"/>
        </w:rPr>
        <w:t xml:space="preserve">   Who pays to unwind your contracts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Contracts that end with the merger</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inventory with notice dates, and which end at conversion.</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Termination and de-conversion fees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pays them, and whether they are in the merger cost budget.</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Auto-renewal and notice dates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Notices to send so contracts do not renew before conversion.</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Local vendor relationships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Local vendors, professionals and partners the survivor keeps or drops.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CUSO interests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Ownership value, buyout terms and services.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9.6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Prepaid amounts and refunds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Prepaid contracts, deposits and credits owed to you.</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9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10. The Merger Agreement</w:t>
      </w:r>
      <w:r>
        <w:rPr>
          <w:rFonts w:ascii="Arial" w:cs="Arial" w:eastAsia="Arial" w:hAnsi="Arial"/>
          <w:color w:val="3F9CD4"/>
          <w:sz w:val="18"/>
          <w:szCs w:val="18"/>
        </w:rPr>
        <w:t xml:space="preserve">   Get it in writing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Commitments to members, staff, branches, brand and board</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promise written into the merger agreement, with time frames.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Enforceability</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monitors commitments after closing and what happens if they are broken.</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Representations, warranties and conditions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What each side certifies and what lets either side walk away.</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Merger costs and who pays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Legal, accounting, conversion, severance and member communications.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If the member vote fails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Costs, timelines and obligations.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10.6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Confidentiality and communications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Who says what, and when, to staff, members and the community.</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10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2"/>
        <w:keepNext/>
        <w:spacing w:after="100" w:before="260"/>
      </w:pPr>
      <w:r>
        <w:rPr>
          <w:rFonts w:ascii="Arial" w:cs="Arial" w:eastAsia="Arial" w:hAnsi="Arial"/>
          <w:b/>
          <w:bCs/>
          <w:color w:val="091B4F"/>
          <w:sz w:val="24"/>
          <w:szCs w:val="24"/>
        </w:rPr>
        <w:t xml:space="preserve">11. Fiduciary Duty, Regulatory Process and Member Vote</w:t>
      </w:r>
      <w:r>
        <w:rPr>
          <w:rFonts w:ascii="Arial" w:cs="Arial" w:eastAsia="Arial" w:hAnsi="Arial"/>
          <w:color w:val="3F9CD4"/>
          <w:sz w:val="18"/>
          <w:szCs w:val="18"/>
        </w:rPr>
        <w:t xml:space="preserve">   Doing right by your members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2950"/>
        <w:gridCol w:w="4590"/>
        <w:gridCol w:w="1250"/>
        <w:gridCol w:w="650"/>
      </w:tblGrid>
      <w:tr>
        <w:trPr>
          <w:cantSplit/>
          <w:tblHeader/>
        </w:trPr>
        <w:tc>
          <w:tcPr>
            <w:tcW w:type="dxa" w:w="64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29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Review item</w:t>
            </w:r>
          </w:p>
        </w:tc>
        <w:tc>
          <w:tcPr>
            <w:tcW w:type="dxa" w:w="459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What to look for</w:t>
            </w:r>
          </w:p>
        </w:tc>
        <w:tc>
          <w:tcPr>
            <w:tcW w:type="dxa" w:w="12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Owner</w:t>
            </w:r>
          </w:p>
        </w:tc>
        <w:tc>
          <w:tcPr>
            <w:tcW w:type="dxa" w:w="65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Done</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11.1</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Alternatives considered</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Standing alone, other partners and alliances, documented in board minutes.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11.2</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Independent analysis</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Independent review of value to members, beyond the survivor's numbers.</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11.3</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NCUA and state requirements under Part 708b</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Merger package, merger-related financial arrangement certification and approvals.</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11.4</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Member notice and vote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Clear reasons, effects on branches and services, the member comment website, and 45 to 90 days' notice before the vote.</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11.5</w:t>
            </w:r>
          </w:p>
        </w:tc>
        <w:tc>
          <w:tcPr>
            <w:tcW w:type="dxa" w:w="29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A61B1B"/>
                <w:sz w:val="16"/>
                <w:szCs w:val="16"/>
              </w:rPr>
              <w:t xml:space="preserve">◆ </w:t>
            </w:r>
            <w:r>
              <w:rPr>
                <w:rFonts w:ascii="Arial" w:cs="Arial" w:eastAsia="Arial" w:hAnsi="Arial"/>
                <w:b/>
                <w:bCs/>
                <w:color w:val="0D2A78"/>
                <w:sz w:val="18"/>
                <w:szCs w:val="18"/>
              </w:rPr>
              <w:t xml:space="preserve">Merger-related financial arrangements</w:t>
            </w:r>
          </w:p>
        </w:tc>
        <w:tc>
          <w:tcPr>
            <w:tcW w:type="dxa" w:w="45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Every increase for covered persons over the greater of $10,000 or 15%, disclosed to members by name, title and amount.</w:t>
            </w:r>
          </w:p>
        </w:tc>
        <w:tc>
          <w:tcPr>
            <w:tcW w:type="dxa" w:w="12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11.6</w:t>
            </w:r>
          </w:p>
        </w:tc>
        <w:tc>
          <w:tcPr>
            <w:tcW w:type="dxa" w:w="29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18"/>
                <w:szCs w:val="18"/>
              </w:rPr>
              <w:t xml:space="preserve">Overlapping members and share insurance</w:t>
            </w:r>
          </w:p>
        </w:tc>
        <w:tc>
          <w:tcPr>
            <w:tcW w:type="dxa" w:w="459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Members of both credit unions whose balances could exceed coverage after the merger.</w:t>
            </w:r>
          </w:p>
        </w:tc>
        <w:tc>
          <w:tcPr>
            <w:tcW w:type="dxa" w:w="12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color w:val="1F2937"/>
                <w:sz w:val="20"/>
                <w:szCs w:val="20"/>
              </w:rPr>
              <w:t xml:space="preserve"/>
            </w:r>
          </w:p>
        </w:tc>
        <w:tc>
          <w:tcPr>
            <w:tcW w:type="dxa" w:w="65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0D2A78"/>
                <w:sz w:val="20"/>
                <w:szCs w:val="20"/>
              </w:rPr>
              <w:t xml:space="preserve">☐ </w:t>
            </w:r>
          </w:p>
        </w:tc>
      </w:tr>
      <w:tr>
        <w:trPr>
          <w:cantSplit/>
        </w:trPr>
        <w:tc>
          <w:tcPr>
            <w:tcW w:type="dxa" w:w="3590"/>
            <w:gridSpan w:val="2"/>
            <w:tcBorders>
              <w:top w:val="single" w:color="BFC2C7" w:sz="4"/>
              <w:left w:val="single" w:color="BFC2C7" w:sz="4"/>
              <w:bottom w:val="single" w:color="BFC2C7" w:sz="4"/>
              <w:right w:val="single" w:color="BFC2C7" w:sz="4"/>
            </w:tcBorders>
            <w:shd w:fill="091B4F" w:color="auto" w:val="clear"/>
            <w:tcMar>
              <w:top w:type="dxa" w:w="50"/>
              <w:left w:type="dxa" w:w="100"/>
              <w:bottom w:type="dxa" w:w="50"/>
              <w:right w:type="dxa" w:w="100"/>
            </w:tcMar>
            <w:vAlign w:val="center"/>
          </w:tcPr>
          <w:p>
            <w:pPr>
              <w:spacing w:after="0"/>
            </w:pPr>
            <w:r>
              <w:rPr>
                <w:rFonts w:ascii="Arial" w:cs="Arial" w:eastAsia="Arial" w:hAnsi="Arial"/>
                <w:b/>
                <w:bCs/>
                <w:color w:val="FFFFFF"/>
                <w:sz w:val="18"/>
                <w:szCs w:val="18"/>
              </w:rPr>
              <w:t xml:space="preserve">Area 11 conclusion</w:t>
            </w:r>
          </w:p>
        </w:tc>
        <w:tc>
          <w:tcPr>
            <w:tcW w:type="dxa" w:w="6490"/>
            <w:gridSpan w:val="3"/>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Clear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Issues to resolve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Deal-breaker or renegotiate</w:t>
            </w:r>
          </w:p>
        </w:tc>
      </w:tr>
    </w:tbl>
    <w:p>
      <w:pPr>
        <w:pStyle w:val="Heading1"/>
        <w:keepNext/>
        <w:pageBreakBefore/>
        <w:pBdr>
          <w:bottom w:val="single" w:color="7AC1EA" w:sz="12" w:space="4"/>
        </w:pBdr>
        <w:spacing w:after="140" w:before="320"/>
      </w:pPr>
      <w:r>
        <w:rPr>
          <w:rFonts w:ascii="Arial" w:cs="Arial" w:eastAsia="Arial" w:hAnsi="Arial"/>
          <w:b/>
          <w:bCs/>
          <w:color w:val="0D2A78"/>
          <w:sz w:val="30"/>
          <w:szCs w:val="30"/>
        </w:rPr>
        <w:t xml:space="preserve">Red flags</w:t>
      </w:r>
    </w:p>
    <w:p>
      <w:pPr>
        <w:spacing w:after="100" w:line="276"/>
      </w:pPr>
      <w:r>
        <w:rPr>
          <w:rFonts w:ascii="Arial" w:cs="Arial" w:eastAsia="Arial" w:hAnsi="Arial"/>
          <w:color w:val="1F2937"/>
          <w:sz w:val="20"/>
          <w:szCs w:val="20"/>
        </w:rPr>
        <w:t xml:space="preserve">Any of these should stop the merger or send it back for renegotiation. Your board's duty is to your members. Escalate as soon as one is found.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8790"/>
        <w:gridCol w:w="650"/>
      </w:tblGrid>
      <w:tr>
        <w:trPr>
          <w:cantSplit/>
          <w:tblHeader/>
        </w:trPr>
        <w:tc>
          <w:tcPr>
            <w:tcW w:type="dxa" w:w="64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w:t>
            </w:r>
          </w:p>
        </w:tc>
        <w:tc>
          <w:tcPr>
            <w:tcW w:type="dxa" w:w="879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Red flag that should stop or renegotiate the merger</w:t>
            </w:r>
          </w:p>
        </w:tc>
        <w:tc>
          <w:tcPr>
            <w:tcW w:type="dxa" w:w="650"/>
            <w:tcBorders>
              <w:top w:val="single" w:color="BFC2C7" w:sz="4"/>
              <w:left w:val="single" w:color="BFC2C7" w:sz="4"/>
              <w:bottom w:val="single" w:color="BFC2C7" w:sz="4"/>
              <w:right w:val="single" w:color="BFC2C7" w:sz="4"/>
            </w:tcBorders>
            <w:shd w:fill="A61B1B" w:color="auto" w:val="clear"/>
            <w:tcMar>
              <w:top w:type="dxa" w:w="50"/>
              <w:left w:type="dxa" w:w="100"/>
              <w:bottom w:type="dxa" w:w="50"/>
              <w:right w:type="dxa" w:w="100"/>
            </w:tcMar>
            <w:vAlign w:val="center"/>
          </w:tcPr>
          <w:p>
            <w:pPr>
              <w:spacing w:after="0"/>
              <w:jc w:val="center"/>
            </w:pPr>
            <w:r>
              <w:rPr>
                <w:rFonts w:ascii="Arial" w:cs="Arial" w:eastAsia="Arial" w:hAnsi="Arial"/>
                <w:b/>
                <w:bCs/>
                <w:color w:val="FFFFFF"/>
                <w:sz w:val="17"/>
                <w:szCs w:val="17"/>
              </w:rPr>
              <w:t xml:space="preserve">Found</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R1</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Combined net worth is weaker than yours today, or the survivor needs your capital to fix its own problems.</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R2</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Commitments on branches, staff, brand or board seats that are not in the merger agreement.</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R3</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Branches closed, staff cut or promises broken after the survivor's earlier mergers.</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R4</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Members would pay more in fees or loan rates, or earn less on savings, with no offsetting gain.</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R5</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Some current members or select employee groups would lose eligibility.</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R6</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Executive or director pay increases that look like payment for agreeing to the merger.</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R7</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Open enforcement actions or serious exam issues at the survivor.</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R8</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A history of difficult systems conversions with no credible plan this time.</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R9</w:t>
            </w:r>
          </w:p>
        </w:tc>
        <w:tc>
          <w:tcPr>
            <w:tcW w:type="dxa" w:w="879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No meaningful board seats, local voice or advisory role for your members.</w:t>
            </w:r>
          </w:p>
        </w:tc>
        <w:tc>
          <w:tcPr>
            <w:tcW w:type="dxa" w:w="65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r>
        <w:trPr>
          <w:cantSplit/>
        </w:trPr>
        <w:tc>
          <w:tcPr>
            <w:tcW w:type="dxa" w:w="64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b/>
                <w:bCs/>
                <w:color w:val="A61B1B"/>
                <w:sz w:val="18"/>
                <w:szCs w:val="18"/>
              </w:rPr>
              <w:t xml:space="preserve">R10</w:t>
            </w:r>
          </w:p>
        </w:tc>
        <w:tc>
          <w:tcPr>
            <w:tcW w:type="dxa" w:w="879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pPr>
            <w:r>
              <w:rPr>
                <w:rFonts w:ascii="Arial" w:cs="Arial" w:eastAsia="Arial" w:hAnsi="Arial"/>
                <w:color w:val="1F2937"/>
                <w:sz w:val="18"/>
                <w:szCs w:val="18"/>
              </w:rPr>
              <w:t xml:space="preserve">Your members' equity is diluted with no special dividend or other value in return.</w:t>
            </w:r>
          </w:p>
        </w:tc>
        <w:tc>
          <w:tcPr>
            <w:tcW w:type="dxa" w:w="650"/>
            <w:tcBorders>
              <w:top w:val="single" w:color="BFC2C7" w:sz="4"/>
              <w:left w:val="single" w:color="BFC2C7" w:sz="4"/>
              <w:bottom w:val="single" w:color="BFC2C7" w:sz="4"/>
              <w:right w:val="single" w:color="BFC2C7" w:sz="4"/>
            </w:tcBorders>
            <w:shd w:fill="FBF1F1" w:color="auto" w:val="clear"/>
            <w:tcMar>
              <w:top w:type="dxa" w:w="50"/>
              <w:left w:type="dxa" w:w="100"/>
              <w:bottom w:type="dxa" w:w="50"/>
              <w:right w:type="dxa" w:w="100"/>
            </w:tcMar>
            <w:vAlign w:val="center"/>
          </w:tcPr>
          <w:p>
            <w:pPr>
              <w:spacing w:after="0"/>
              <w:jc w:val="center"/>
            </w:pPr>
            <w:r>
              <w:rPr>
                <w:rFonts w:ascii="Segoe UI Symbol" w:cs="Segoe UI Symbol" w:eastAsia="Segoe UI Symbol" w:hAnsi="Segoe UI Symbol"/>
                <w:color w:val="A61B1B"/>
                <w:sz w:val="20"/>
                <w:szCs w:val="20"/>
              </w:rPr>
              <w:t xml:space="preserve">☐ </w:t>
            </w:r>
          </w:p>
        </w:tc>
      </w:tr>
    </w:tbl>
    <w:p>
      <w:pPr>
        <w:pStyle w:val="Heading1"/>
        <w:keepNext/>
        <w:pBdr>
          <w:bottom w:val="single" w:color="7AC1EA" w:sz="12" w:space="4"/>
        </w:pBdr>
        <w:spacing w:after="140" w:before="320"/>
      </w:pPr>
      <w:r>
        <w:rPr>
          <w:rFonts w:ascii="Arial" w:cs="Arial" w:eastAsia="Arial" w:hAnsi="Arial"/>
          <w:b/>
          <w:bCs/>
          <w:color w:val="0D2A78"/>
          <w:sz w:val="30"/>
          <w:szCs w:val="30"/>
        </w:rPr>
        <w:t xml:space="preserve">Due diligence sign-off</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480"/>
      </w:tblGrid>
      <w:tr>
        <w:trPr>
          <w:cantSplit/>
          <w:tblHeader/>
        </w:trPr>
        <w:tc>
          <w:tcPr>
            <w:tcW w:type="dxa" w:w="360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Decision</w:t>
            </w:r>
          </w:p>
        </w:tc>
        <w:tc>
          <w:tcPr>
            <w:tcW w:type="dxa" w:w="6480"/>
            <w:tcBorders>
              <w:top w:val="single" w:color="BFC2C7" w:sz="4"/>
              <w:left w:val="single" w:color="BFC2C7" w:sz="4"/>
              <w:bottom w:val="single" w:color="BFC2C7" w:sz="4"/>
              <w:right w:val="single" w:color="BFC2C7" w:sz="4"/>
            </w:tcBorders>
            <w:shd w:fill="0D2A78" w:color="auto" w:val="clear"/>
            <w:tcMar>
              <w:top w:type="dxa" w:w="50"/>
              <w:left w:type="dxa" w:w="100"/>
              <w:bottom w:type="dxa" w:w="50"/>
              <w:right w:type="dxa" w:w="100"/>
            </w:tcMar>
            <w:vAlign w:val="center"/>
          </w:tcPr>
          <w:p>
            <w:pPr>
              <w:spacing w:after="0"/>
              <w:jc w:val="left"/>
            </w:pPr>
            <w:r>
              <w:rPr>
                <w:rFonts w:ascii="Arial" w:cs="Arial" w:eastAsia="Arial" w:hAnsi="Arial"/>
                <w:b/>
                <w:bCs/>
                <w:color w:val="FFFFFF"/>
                <w:sz w:val="17"/>
                <w:szCs w:val="17"/>
              </w:rPr>
              <w:t xml:space="preserve">Result</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Areas clear</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11</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Areas with issues to resolve</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11</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Red flags found</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______ of 10</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Recommendation</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Recommend to members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Recommend with conditions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Renegotiate     </w:t>
            </w:r>
            <w:r>
              <w:rPr>
                <w:rFonts w:ascii="Segoe UI Symbol" w:cs="Segoe UI Symbol" w:eastAsia="Segoe UI Symbol" w:hAnsi="Segoe UI Symbol"/>
                <w:color w:val="0D2A78"/>
                <w:sz w:val="20"/>
                <w:szCs w:val="20"/>
              </w:rPr>
              <w:t xml:space="preserve">☐ </w:t>
            </w:r>
            <w:r>
              <w:rPr>
                <w:rFonts w:ascii="Arial" w:cs="Arial" w:eastAsia="Arial" w:hAnsi="Arial"/>
                <w:color w:val="1F2937"/>
                <w:sz w:val="18"/>
                <w:szCs w:val="18"/>
              </w:rPr>
              <w:t xml:space="preserve">Do not proceed</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Conditions for the merger agreement</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t>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Items for the integration plan</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t>
            </w:r>
          </w:p>
        </w:tc>
      </w:tr>
      <w:tr>
        <w:trPr>
          <w:cantSplit/>
        </w:trPr>
        <w:tc>
          <w:tcPr>
            <w:tcW w:type="dxa" w:w="360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Reviewed by (name, title)</w:t>
            </w:r>
          </w:p>
        </w:tc>
        <w:tc>
          <w:tcPr>
            <w:tcW w:type="dxa" w:w="6480"/>
            <w:tcBorders>
              <w:top w:val="single" w:color="BFC2C7" w:sz="4"/>
              <w:left w:val="single" w:color="BFC2C7" w:sz="4"/>
              <w:bottom w:val="single" w:color="BFC2C7" w:sz="4"/>
              <w:right w:val="single" w:color="BFC2C7" w:sz="4"/>
            </w:tcBorders>
            <w:shd w:fill="FFFFFF"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r>
          </w:p>
        </w:tc>
      </w:tr>
      <w:tr>
        <w:trPr>
          <w:cantSplit/>
        </w:trPr>
        <w:tc>
          <w:tcPr>
            <w:tcW w:type="dxa" w:w="360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pPr>
            <w:r>
              <w:rPr>
                <w:rFonts w:ascii="Arial" w:cs="Arial" w:eastAsia="Arial" w:hAnsi="Arial"/>
                <w:b/>
                <w:bCs/>
                <w:color w:val="0D2A78"/>
                <w:sz w:val="20"/>
                <w:szCs w:val="20"/>
              </w:rPr>
              <w:t xml:space="preserve">Date</w:t>
            </w:r>
          </w:p>
        </w:tc>
        <w:tc>
          <w:tcPr>
            <w:tcW w:type="dxa" w:w="6480"/>
            <w:tcBorders>
              <w:top w:val="single" w:color="BFC2C7" w:sz="4"/>
              <w:left w:val="single" w:color="BFC2C7" w:sz="4"/>
              <w:bottom w:val="single" w:color="BFC2C7" w:sz="4"/>
              <w:right w:val="single" w:color="BFC2C7" w:sz="4"/>
            </w:tcBorders>
            <w:shd w:fill="F3F6FB" w:color="auto" w:val="clear"/>
            <w:tcMar>
              <w:top w:type="dxa" w:w="50"/>
              <w:left w:type="dxa" w:w="100"/>
              <w:bottom w:type="dxa" w:w="50"/>
              <w:right w:type="dxa" w:w="100"/>
            </w:tcMar>
            <w:vAlign w:val="center"/>
          </w:tcPr>
          <w:p>
            <w:pPr>
              <w:spacing w:after="0" w:line="320"/>
            </w:pPr>
            <w:r>
              <w:rPr>
                <w:rFonts w:ascii="Arial" w:cs="Arial" w:eastAsia="Arial" w:hAnsi="Arial"/>
                <w:color w:val="1F2937"/>
                <w:sz w:val="18"/>
                <w:szCs w:val="18"/>
              </w:rPr>
              <w:t xml:space="preserve"/>
            </w:r>
          </w:p>
        </w:tc>
      </w:tr>
    </w:tbl>
    <w:p>
      <w:pPr>
        <w:keepNext w:val="false"/>
        <w:spacing w:after="2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0D2A78" w:color="auto" w:val="clear"/>
            <w:tcMar>
              <w:top w:type="dxa" w:w="50"/>
              <w:left w:type="dxa" w:w="100"/>
              <w:bottom w:type="dxa" w:w="50"/>
              <w:right w:type="dxa" w:w="100"/>
            </w:tcMar>
            <w:vAlign w:val="center"/>
          </w:tcPr>
          <w:p>
            <w:pPr>
              <w:spacing w:after="60" w:before="80"/>
            </w:pPr>
            <w:r>
              <w:rPr>
                <w:rFonts w:ascii="Arial" w:cs="Arial" w:eastAsia="Arial" w:hAnsi="Arial"/>
                <w:b/>
                <w:bCs/>
                <w:color w:val="7AC1EA"/>
                <w:sz w:val="24"/>
                <w:szCs w:val="24"/>
              </w:rPr>
              <w:t xml:space="preserve">Ready to act?</w:t>
            </w:r>
          </w:p>
          <w:p>
            <w:pPr>
              <w:spacing w:after="80"/>
            </w:pPr>
            <w:r>
              <w:rPr>
                <w:rFonts w:ascii="Arial" w:cs="Arial" w:eastAsia="Arial" w:hAnsi="Arial"/>
                <w:color w:val="FFFFFF"/>
                <w:sz w:val="20"/>
                <w:szCs w:val="20"/>
              </w:rPr>
              <w:t xml:space="preserve">SPM leads merger due diligence for both sides, integration planning and post-merger strategic planning and execution, including a populated project management plan with every workstream, owner and milestone. To discuss what SPM can do for your credit union, email </w:t>
            </w:r>
            <w:hyperlink w:history="1" r:id="rIdm4zritgounzwiacmiusbk">
              <w:r>
                <w:rPr>
                  <w:rFonts w:ascii="Arial" w:cs="Arial" w:eastAsia="Arial" w:hAnsi="Arial"/>
                  <w:b/>
                  <w:bCs/>
                  <w:color w:val="7AC1EA"/>
                  <w:sz w:val="20"/>
                  <w:szCs w:val="20"/>
                  <w:u w:val="single"/>
                </w:rPr>
                <w:t xml:space="preserve">Info@SPM.Consulting</w:t>
              </w:r>
            </w:hyperlink>
            <w:r>
              <w:rPr>
                <w:rFonts w:ascii="Arial" w:cs="Arial" w:eastAsia="Arial" w:hAnsi="Arial"/>
                <w:color w:val="FFFFFF"/>
                <w:sz w:val="20"/>
                <w:szCs w:val="20"/>
              </w:rPr>
              <w:t xml:space="preserve">.</w:t>
            </w:r>
          </w:p>
        </w:tc>
      </w:tr>
    </w:tbl>
    <w:p>
      <w:pPr>
        <w:keepNext w:val="false"/>
        <w:spacing w:after="120"/>
      </w:pPr>
    </w:p>
    <w:p>
      <w:pPr>
        <w:spacing w:after="100" w:line="276"/>
      </w:pPr>
      <w:r>
        <w:rPr>
          <w:rFonts w:ascii="Arial" w:cs="Arial" w:eastAsia="Arial" w:hAnsi="Arial"/>
          <w:color w:val="6B7280"/>
          <w:sz w:val="16"/>
          <w:szCs w:val="16"/>
        </w:rPr>
        <w:t xml:space="preserve">This checklist supports the merging credit union's due diligence. It is not legal, accounting or regulatory advice. Confirm requirements with NCUA, your state regulator, auditors and counsel. Regulatory references reflect NCUA Part 708b as of October 2026.</w:t>
      </w:r>
    </w:p>
    <w:sectPr>
      <w:headerReference w:type="default" r:id="rId7"/>
      <w:headerReference w:type="first" r:id="rId8"/>
      <w:footerReference w:type="default" r:id="rId9"/>
      <w:footerReference w:type="first" r:id="rId10"/>
      <w:pgSz w:w="12240" w:h="15840" w:orient="portrait"/>
      <w:pgMar w:top="1080" w:right="1080" w:bottom="1000" w:left="1080" w:header="50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2C7" w:sz="4" w:space="4"/>
      </w:pBdr>
      <w:tabs>
        <w:tab w:val="center" w:pos="5040"/>
        <w:tab w:val="right" w:pos="10080"/>
      </w:tabs>
    </w:pPr>
    <w:r>
      <w:rPr>
        <w:rFonts w:ascii="Arial" w:cs="Arial" w:eastAsia="Arial" w:hAnsi="Arial"/>
        <w:color w:val="6B7280"/>
        <w:sz w:val="14"/>
        <w:szCs w:val="14"/>
      </w:rPr>
      <w:t xml:space="preserve">SPM MERGER DUE DILIGENCE ESSENTIALS</w:t>
    </w:r>
    <w:r>
      <w:rPr>
        <w:rFonts w:ascii="Arial" w:cs="Arial" w:eastAsia="Arial" w:hAnsi="Arial"/>
        <w:b/>
        <w:bCs/>
        <w:color w:val="0D2A78"/>
        <w:sz w:val="14"/>
        <w:szCs w:val="14"/>
      </w:rPr>
      <w:t xml:space="preserve">	Info@SPM.Consulting</w:t>
    </w:r>
    <w:r>
      <w:rPr>
        <w:rFonts w:ascii="Arial" w:cs="Arial" w:eastAsia="Arial" w:hAnsi="Arial"/>
        <w:color w:val="6B7280"/>
        <w:sz w:val="14"/>
        <w:szCs w:val="14"/>
      </w:rPr>
      <w:t xml:space="preserve">	Page </w:t>
    </w:r>
    <w:r>
      <w:rPr>
        <w:rFonts w:ascii="Arial" w:cs="Arial" w:eastAsia="Arial" w:hAnsi="Arial"/>
        <w:color w:val="6B7280"/>
        <w:sz w:val="14"/>
        <w:szCs w:val="14"/>
      </w:rPr>
      <w:fldChar w:fldCharType="begin"/>
      <w:instrText xml:space="preserve">PAGE</w:instrText>
      <w:fldChar w:fldCharType="separate"/>
      <w:fldChar w:fldCharType="end"/>
    </w:r>
  </w:p>
  <w:p>
    <w:pPr>
      <w:spacing w:before="40"/>
      <w:jc w:val="center"/>
    </w:pPr>
    <w:r>
      <w:rPr>
        <w:rFonts w:ascii="Arial" w:cs="Arial" w:eastAsia="Arial" w:hAnsi="Arial"/>
        <w:color w:val="6B7280"/>
        <w:sz w:val="13"/>
        <w:szCs w:val="13"/>
      </w:rPr>
      <w:t xml:space="preserve">© 2026 SPM Strategic Process Management.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2C7" w:sz="4" w:space="4"/>
      </w:pBdr>
      <w:tabs>
        <w:tab w:val="center" w:pos="5040"/>
        <w:tab w:val="right" w:pos="10080"/>
      </w:tabs>
    </w:pPr>
    <w:r>
      <w:rPr>
        <w:rFonts w:ascii="Arial" w:cs="Arial" w:eastAsia="Arial" w:hAnsi="Arial"/>
        <w:color w:val="6B7280"/>
        <w:sz w:val="14"/>
        <w:szCs w:val="14"/>
      </w:rPr>
      <w:t xml:space="preserve">SPM MERGER DUE DILIGENCE ESSENTIALS</w:t>
    </w:r>
    <w:r>
      <w:rPr>
        <w:rFonts w:ascii="Arial" w:cs="Arial" w:eastAsia="Arial" w:hAnsi="Arial"/>
        <w:b/>
        <w:bCs/>
        <w:color w:val="0D2A78"/>
        <w:sz w:val="14"/>
        <w:szCs w:val="14"/>
      </w:rPr>
      <w:t xml:space="preserve">	Info@SPM.Consulting</w:t>
    </w:r>
    <w:r>
      <w:rPr>
        <w:rFonts w:ascii="Arial" w:cs="Arial" w:eastAsia="Arial" w:hAnsi="Arial"/>
        <w:color w:val="6B7280"/>
        <w:sz w:val="14"/>
        <w:szCs w:val="14"/>
      </w:rPr>
      <w:t xml:space="preserve">	Page </w:t>
    </w:r>
    <w:r>
      <w:rPr>
        <w:rFonts w:ascii="Arial" w:cs="Arial" w:eastAsia="Arial" w:hAnsi="Arial"/>
        <w:color w:val="6B7280"/>
        <w:sz w:val="14"/>
        <w:szCs w:val="14"/>
      </w:rPr>
      <w:fldChar w:fldCharType="begin"/>
      <w:instrText xml:space="preserve">PAGE</w:instrText>
      <w:fldChar w:fldCharType="separate"/>
      <w:fldChar w:fldCharType="end"/>
    </w:r>
  </w:p>
  <w:p>
    <w:pPr>
      <w:spacing w:before="40"/>
      <w:jc w:val="center"/>
    </w:pPr>
    <w:r>
      <w:rPr>
        <w:rFonts w:ascii="Arial" w:cs="Arial" w:eastAsia="Arial" w:hAnsi="Arial"/>
        <w:color w:val="6B7280"/>
        <w:sz w:val="13"/>
        <w:szCs w:val="13"/>
      </w:rPr>
      <w:t xml:space="preserve">© 2026 SPM Strategic Process Management.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AC1EA" w:sz="6" w:space="4"/>
      </w:pBdr>
      <w:tabs>
        <w:tab w:val="right" w:pos="10080"/>
      </w:tabs>
    </w:pPr>
    <w:r>
      <w:drawing>
        <wp:inline distT="0" distB="0" distL="0" distR="0">
          <wp:extent cx="1047750"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371475"/>
                  </a:xfrm>
                  <a:prstGeom prst="rect">
                    <a:avLst/>
                  </a:prstGeom>
                </pic:spPr>
              </pic:pic>
            </a:graphicData>
          </a:graphic>
        </wp:inline>
      </w:drawing>
    </w:r>
    <w:r>
      <w:rPr>
        <w:rFonts w:ascii="Arial" w:cs="Arial" w:eastAsia="Arial" w:hAnsi="Arial"/>
        <w:b/>
        <w:bCs/>
        <w:color w:val="0D2A78"/>
        <w:sz w:val="16"/>
        <w:szCs w:val="16"/>
      </w:rPr>
      <w:t xml:space="preserve">	MERGER DUE DILIGENCE ESSENTIALS: MERGING PARTNER EDITION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rFonts w:ascii="Arial" w:cs="Arial" w:eastAsia="Arial" w:hAnsi="Arial"/>
        <w:b/>
        <w:bCs/>
        <w:color w:val="0D2A7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0D2A78"/>
      <w:sz w:val="30"/>
      <w:szCs w:val="30"/>
    </w:rPr>
  </w:style>
  <w:style w:type="paragraph" w:styleId="Heading2">
    <w:name w:val="Heading 2"/>
    <w:basedOn w:val="Normal"/>
    <w:next w:val="Normal"/>
    <w:qFormat/>
    <w:pPr>
      <w:outlineLvl w:val="1"/>
    </w:pPr>
    <w:rPr>
      <w:rFonts w:ascii="Arial" w:cs="Arial" w:eastAsia="Arial" w:hAnsi="Arial"/>
      <w:b/>
      <w:bCs/>
      <w:color w:val="091B4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urwwl4xtfovuycbpxo9zf" Type="http://schemas.openxmlformats.org/officeDocument/2006/relationships/hyperlink" Target="https://spm-merger-analysis.pplx.app" TargetMode="External"/><Relationship Id="rIdm4zritgounzwiacmiusbk" Type="http://schemas.openxmlformats.org/officeDocument/2006/relationships/hyperlink" Target="mailto:Info@SPM.Consulting" TargetMode="External"/><Relationship Id="rId11" Type="http://schemas.openxmlformats.org/officeDocument/2006/relationships/image" Target="media/950175dba070eb23dcd7a22a5cda6e67065f517e.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50175dba070eb23dcd7a22a5cda6e67065f517e.jp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SPM CREDIT UNION MERGER DUE DILIGENCE ESSENTIALS: MERGING PARTNER EDITION</dc:title>
  <dc:creator>SPM Strategic Process Management</dc:creator>
  <cp:lastModifiedBy>Un-named</cp:lastModifiedBy>
  <cp:revision>1</cp:revision>
  <dcterms:created xsi:type="dcterms:W3CDTF">2026-10-24T14:15:57.596Z</dcterms:created>
  <dcterms:modified xsi:type="dcterms:W3CDTF">2026-10-24T14:15:57.597Z</dcterms:modified>
</cp:coreProperties>
</file>

<file path=docProps/custom.xml><?xml version="1.0" encoding="utf-8"?>
<Properties xmlns="http://schemas.openxmlformats.org/officeDocument/2006/custom-properties" xmlns:vt="http://schemas.openxmlformats.org/officeDocument/2006/docPropsVTypes"/>
</file>