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2286000" cy="800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286000" cy="800100"/>
                    </a:xfrm>
                    <a:prstGeom prst="rect">
                      <a:avLst/>
                    </a:prstGeom>
                  </pic:spPr>
                </pic:pic>
              </a:graphicData>
            </a:graphic>
          </wp:inline>
        </w:drawing>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none" w:color="FFFFFF" w:sz="0"/>
              <w:bottom w:val="none" w:color="FFFFFF" w:sz="0"/>
              <w:right w:val="none" w:color="FFFFFF" w:sz="0"/>
            </w:tcBorders>
            <w:shd w:fill="0D2A78" w:color="auto" w:val="clear"/>
            <w:tcMar>
              <w:top w:type="dxa" w:w="50"/>
              <w:left w:type="dxa" w:w="100"/>
              <w:bottom w:type="dxa" w:w="50"/>
              <w:right w:type="dxa" w:w="100"/>
            </w:tcMar>
            <w:vAlign w:val="center"/>
          </w:tcPr>
          <w:p>
            <w:pPr>
              <w:spacing w:after="40" w:before="120"/>
            </w:pPr>
            <w:r>
              <w:rPr>
                <w:rFonts w:ascii="Arial" w:cs="Arial" w:eastAsia="Arial" w:hAnsi="Arial"/>
                <w:b/>
                <w:bCs/>
                <w:color w:val="7AC1EA"/>
                <w:sz w:val="26"/>
                <w:szCs w:val="26"/>
              </w:rPr>
              <w:t xml:space="preserve">THE SPM CREDIT UNION</w:t>
            </w:r>
          </w:p>
          <w:p>
            <w:pPr>
              <w:spacing w:after="60"/>
            </w:pPr>
            <w:r>
              <w:rPr>
                <w:rFonts w:ascii="Arial" w:cs="Arial" w:eastAsia="Arial" w:hAnsi="Arial"/>
                <w:b/>
                <w:bCs/>
                <w:color w:val="FFFFFF"/>
                <w:sz w:val="44"/>
                <w:szCs w:val="44"/>
              </w:rPr>
              <w:t xml:space="preserve">MERGER DUE DILIGENCE ESSENTIALS</w:t>
            </w:r>
          </w:p>
          <w:p>
            <w:pPr>
              <w:spacing w:after="120"/>
            </w:pPr>
            <w:r>
              <w:rPr>
                <w:rFonts w:ascii="Arial" w:cs="Arial" w:eastAsia="Arial" w:hAnsi="Arial"/>
                <w:b/>
                <w:bCs/>
                <w:color w:val="7AC1EA"/>
                <w:sz w:val="24"/>
                <w:szCs w:val="24"/>
              </w:rPr>
              <w:t xml:space="preserve">SURVIVOR EDITION</w:t>
            </w:r>
          </w:p>
          <w:p>
            <w:pPr>
              <w:spacing w:after="120"/>
            </w:pPr>
            <w:r>
              <w:rPr>
                <w:rFonts w:ascii="Arial" w:cs="Arial" w:eastAsia="Arial" w:hAnsi="Arial"/>
                <w:color w:val="FFFFFF"/>
                <w:sz w:val="22"/>
                <w:szCs w:val="22"/>
              </w:rPr>
              <w:t xml:space="preserve">What the surviving credit union must review before it signs.</w:t>
            </w:r>
          </w:p>
        </w:tc>
      </w:tr>
      <w:tr>
        <w:tc>
          <w:tcPr>
            <w:tcW w:type="dxa" w:w="10080"/>
            <w:tcBorders>
              <w:top w:val="none" w:color="FFFFFF" w:sz="0"/>
              <w:left w:val="none" w:color="FFFFFF" w:sz="0"/>
              <w:bottom w:val="none" w:color="FFFFFF" w:sz="0"/>
              <w:right w:val="none" w:color="FFFFFF" w:sz="0"/>
            </w:tcBorders>
            <w:shd w:fill="3F9CD4"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For the CEO, CFO, board and merger due diligence team</w:t>
            </w:r>
          </w:p>
        </w:tc>
      </w:tr>
    </w:tbl>
    <w:p>
      <w:pPr>
        <w:keepNext w:val="false"/>
        <w:spacing w:after="1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7380"/>
      </w:tblGrid>
      <w:tr>
        <w:trPr>
          <w:cantSplit/>
        </w:trPr>
        <w:tc>
          <w:tcPr>
            <w:tcW w:type="dxa" w:w="27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20"/>
                <w:szCs w:val="20"/>
              </w:rPr>
              <w:t xml:space="preserve">Surviving credit union</w:t>
            </w:r>
          </w:p>
        </w:tc>
        <w:tc>
          <w:tcPr>
            <w:tcW w:type="dxa" w:w="7380"/>
            <w:tcBorders>
              <w:top w:val="single" w:color="BFC2C7" w:sz="4"/>
              <w:left w:val="single" w:color="BFC2C7" w:sz="4"/>
              <w:bottom w:val="single" w:color="BFC2C7" w:sz="4"/>
              <w:right w:val="single" w:color="BFC2C7" w:sz="4"/>
            </w:tcBorders>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r>
      <w:tr>
        <w:trPr>
          <w:cantSplit/>
        </w:trPr>
        <w:tc>
          <w:tcPr>
            <w:tcW w:type="dxa" w:w="27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20"/>
                <w:szCs w:val="20"/>
              </w:rPr>
              <w:t xml:space="preserve">Merging credit union</w:t>
            </w:r>
          </w:p>
        </w:tc>
        <w:tc>
          <w:tcPr>
            <w:tcW w:type="dxa" w:w="7380"/>
            <w:tcBorders>
              <w:top w:val="single" w:color="BFC2C7" w:sz="4"/>
              <w:left w:val="single" w:color="BFC2C7" w:sz="4"/>
              <w:bottom w:val="single" w:color="BFC2C7" w:sz="4"/>
              <w:right w:val="single" w:color="BFC2C7" w:sz="4"/>
            </w:tcBorders>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r>
      <w:tr>
        <w:trPr>
          <w:cantSplit/>
        </w:trPr>
        <w:tc>
          <w:tcPr>
            <w:tcW w:type="dxa" w:w="27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20"/>
                <w:szCs w:val="20"/>
              </w:rPr>
              <w:t xml:space="preserve">Due diligence lead</w:t>
            </w:r>
          </w:p>
        </w:tc>
        <w:tc>
          <w:tcPr>
            <w:tcW w:type="dxa" w:w="7380"/>
            <w:tcBorders>
              <w:top w:val="single" w:color="BFC2C7" w:sz="4"/>
              <w:left w:val="single" w:color="BFC2C7" w:sz="4"/>
              <w:bottom w:val="single" w:color="BFC2C7" w:sz="4"/>
              <w:right w:val="single" w:color="BFC2C7" w:sz="4"/>
            </w:tcBorders>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r>
      <w:tr>
        <w:trPr>
          <w:cantSplit/>
        </w:trPr>
        <w:tc>
          <w:tcPr>
            <w:tcW w:type="dxa" w:w="27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20"/>
                <w:szCs w:val="20"/>
              </w:rPr>
              <w:t xml:space="preserve">Data as of</w:t>
            </w:r>
          </w:p>
        </w:tc>
        <w:tc>
          <w:tcPr>
            <w:tcW w:type="dxa" w:w="7380"/>
            <w:tcBorders>
              <w:top w:val="single" w:color="BFC2C7" w:sz="4"/>
              <w:left w:val="single" w:color="BFC2C7" w:sz="4"/>
              <w:bottom w:val="single" w:color="BFC2C7" w:sz="4"/>
              <w:right w:val="single" w:color="BFC2C7" w:sz="4"/>
            </w:tcBorders>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r>
      <w:tr>
        <w:trPr>
          <w:cantSplit/>
        </w:trPr>
        <w:tc>
          <w:tcPr>
            <w:tcW w:type="dxa" w:w="27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20"/>
                <w:szCs w:val="20"/>
              </w:rPr>
              <w:t xml:space="preserve">Review period</w:t>
            </w:r>
          </w:p>
        </w:tc>
        <w:tc>
          <w:tcPr>
            <w:tcW w:type="dxa" w:w="7380"/>
            <w:tcBorders>
              <w:top w:val="single" w:color="BFC2C7" w:sz="4"/>
              <w:left w:val="single" w:color="BFC2C7" w:sz="4"/>
              <w:bottom w:val="single" w:color="BFC2C7" w:sz="4"/>
              <w:right w:val="single" w:color="BFC2C7" w:sz="4"/>
            </w:tcBorders>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r>
    </w:tbl>
    <w:p>
      <w:pPr>
        <w:pStyle w:val="Heading1"/>
        <w:keepNext/>
        <w:pBdr>
          <w:bottom w:val="single" w:color="7AC1EA" w:sz="12" w:space="4"/>
        </w:pBdr>
        <w:spacing w:after="140" w:before="320"/>
      </w:pPr>
      <w:r>
        <w:rPr>
          <w:rFonts w:ascii="Arial" w:cs="Arial" w:eastAsia="Arial" w:hAnsi="Arial"/>
          <w:b/>
          <w:bCs/>
          <w:color w:val="0D2A78"/>
          <w:sz w:val="30"/>
          <w:szCs w:val="30"/>
        </w:rPr>
        <w:t xml:space="preserve">How to use this checklist</w:t>
      </w:r>
    </w:p>
    <w:p>
      <w:pPr>
        <w:pStyle w:val="ListParagraph"/>
        <w:numPr>
          <w:ilvl w:val="0"/>
          <w:numId w:val="2"/>
        </w:numPr>
        <w:spacing w:after="100" w:line="276"/>
      </w:pPr>
      <w:r>
        <w:rPr>
          <w:rFonts w:ascii="Arial" w:cs="Arial" w:eastAsia="Arial" w:hAnsi="Arial"/>
          <w:b/>
          <w:bCs/>
          <w:color w:val="0D2A78"/>
          <w:sz w:val="20"/>
          <w:szCs w:val="20"/>
        </w:rPr>
        <w:t xml:space="preserve">Start with the numbers. </w:t>
      </w:r>
      <w:r>
        <w:rPr>
          <w:rFonts w:ascii="Arial" w:cs="Arial" w:eastAsia="Arial" w:hAnsi="Arial"/>
          <w:color w:val="1F2937"/>
          <w:sz w:val="20"/>
          <w:szCs w:val="20"/>
        </w:rPr>
        <w:t xml:space="preserve">Run both charters in </w:t>
      </w:r>
      <w:hyperlink w:history="1" r:id="rId9bdf5cfejh4xqjovhvdey">
        <w:r>
          <w:rPr>
            <w:rFonts w:ascii="Arial" w:cs="Arial" w:eastAsia="Arial" w:hAnsi="Arial"/>
            <w:b/>
            <w:bCs/>
            <w:color w:val="3F9CD4"/>
            <w:sz w:val="20"/>
            <w:szCs w:val="20"/>
            <w:u w:val="single"/>
          </w:rPr>
          <w:t xml:space="preserve">THE SPM CREDIT UNION MERGER ANALYSIS</w:t>
        </w:r>
      </w:hyperlink>
      <w:r>
        <w:rPr>
          <w:rFonts w:ascii="Arial" w:cs="Arial" w:eastAsia="Arial" w:hAnsi="Arial"/>
          <w:color w:val="1F2937"/>
          <w:sz w:val="20"/>
          <w:szCs w:val="20"/>
        </w:rPr>
        <w:t xml:space="preserve"> and review the Combined Balance Sheet. It shows where to look hardest.</w:t>
      </w:r>
    </w:p>
    <w:p>
      <w:pPr>
        <w:pStyle w:val="ListParagraph"/>
        <w:numPr>
          <w:ilvl w:val="0"/>
          <w:numId w:val="2"/>
        </w:numPr>
        <w:spacing w:after="100" w:line="276"/>
      </w:pPr>
      <w:r>
        <w:rPr>
          <w:rFonts w:ascii="Arial" w:cs="Arial" w:eastAsia="Arial" w:hAnsi="Arial"/>
          <w:b/>
          <w:bCs/>
          <w:color w:val="0D2A78"/>
          <w:sz w:val="20"/>
          <w:szCs w:val="20"/>
        </w:rPr>
        <w:t xml:space="preserve">Request documents early. </w:t>
      </w:r>
      <w:r>
        <w:rPr>
          <w:rFonts w:ascii="Arial" w:cs="Arial" w:eastAsia="Arial" w:hAnsi="Arial"/>
          <w:color w:val="1F2937"/>
          <w:sz w:val="20"/>
          <w:szCs w:val="20"/>
        </w:rPr>
        <w:t xml:space="preserve">Each review item doubles as a document request. Set up a secure data room and send the list once.</w:t>
      </w:r>
    </w:p>
    <w:p>
      <w:pPr>
        <w:pStyle w:val="ListParagraph"/>
        <w:numPr>
          <w:ilvl w:val="0"/>
          <w:numId w:val="2"/>
        </w:numPr>
        <w:spacing w:after="100" w:line="276"/>
      </w:pPr>
      <w:r>
        <w:rPr>
          <w:rFonts w:ascii="Arial" w:cs="Arial" w:eastAsia="Arial" w:hAnsi="Arial"/>
          <w:b/>
          <w:bCs/>
          <w:color w:val="0D2A78"/>
          <w:sz w:val="20"/>
          <w:szCs w:val="20"/>
        </w:rPr>
        <w:t xml:space="preserve">Assign an owner to every item. </w:t>
      </w:r>
      <w:r>
        <w:rPr>
          <w:rFonts w:ascii="Arial" w:cs="Arial" w:eastAsia="Arial" w:hAnsi="Arial"/>
          <w:color w:val="1F2937"/>
          <w:sz w:val="20"/>
          <w:szCs w:val="20"/>
        </w:rPr>
        <w:t xml:space="preserve">Lending, finance, IT, compliance, HR and operations leaders each take their areas.</w:t>
      </w:r>
    </w:p>
    <w:p>
      <w:pPr>
        <w:pStyle w:val="ListParagraph"/>
        <w:numPr>
          <w:ilvl w:val="0"/>
          <w:numId w:val="2"/>
        </w:numPr>
        <w:spacing w:after="100" w:line="276"/>
      </w:pPr>
      <w:r>
        <w:rPr>
          <w:rFonts w:ascii="Arial" w:cs="Arial" w:eastAsia="Arial" w:hAnsi="Arial"/>
          <w:b/>
          <w:bCs/>
          <w:color w:val="0D2A78"/>
          <w:sz w:val="20"/>
          <w:szCs w:val="20"/>
        </w:rPr>
        <w:t xml:space="preserve">Do the critical items first. </w:t>
      </w:r>
      <w:r>
        <w:rPr>
          <w:rFonts w:ascii="Segoe UI Symbol" w:cs="Segoe UI Symbol" w:eastAsia="Segoe UI Symbol" w:hAnsi="Segoe UI Symbol"/>
          <w:color w:val="A61B1B"/>
          <w:sz w:val="16"/>
          <w:szCs w:val="16"/>
        </w:rPr>
        <w:t xml:space="preserve">◆ </w:t>
      </w:r>
      <w:r>
        <w:rPr>
          <w:rFonts w:ascii="Arial" w:cs="Arial" w:eastAsia="Arial" w:hAnsi="Arial"/>
          <w:color w:val="1F2937"/>
          <w:sz w:val="20"/>
          <w:szCs w:val="20"/>
        </w:rPr>
        <w:t xml:space="preserve">marks the 47 items most likely to change the price, the terms or the decision.</w:t>
      </w:r>
    </w:p>
    <w:p>
      <w:pPr>
        <w:pStyle w:val="ListParagraph"/>
        <w:numPr>
          <w:ilvl w:val="0"/>
          <w:numId w:val="2"/>
        </w:numPr>
        <w:spacing w:after="100" w:line="276"/>
      </w:pPr>
      <w:r>
        <w:rPr>
          <w:rFonts w:ascii="Arial" w:cs="Arial" w:eastAsia="Arial" w:hAnsi="Arial"/>
          <w:b/>
          <w:bCs/>
          <w:color w:val="0D2A78"/>
          <w:sz w:val="20"/>
          <w:szCs w:val="20"/>
        </w:rPr>
        <w:t xml:space="preserve">Close each area with a conclusion. </w:t>
      </w:r>
      <w:r>
        <w:rPr>
          <w:rFonts w:ascii="Arial" w:cs="Arial" w:eastAsia="Arial" w:hAnsi="Arial"/>
          <w:color w:val="1F2937"/>
          <w:sz w:val="20"/>
          <w:szCs w:val="20"/>
        </w:rPr>
        <w:t xml:space="preserve">Clear, issues to resolve, or deal-breaker or reprice. Carry every issue into the merger agreement or the integration plan.</w:t>
      </w:r>
    </w:p>
    <w:p>
      <w:pPr>
        <w:pageBreakBefore/>
      </w:pPr>
    </w:p>
    <w:p>
      <w:pPr>
        <w:pStyle w:val="Heading2"/>
        <w:keepNext/>
        <w:spacing w:after="100" w:before="260"/>
      </w:pPr>
      <w:r>
        <w:rPr>
          <w:rFonts w:ascii="Arial" w:cs="Arial" w:eastAsia="Arial" w:hAnsi="Arial"/>
          <w:b/>
          <w:bCs/>
          <w:color w:val="091B4F"/>
          <w:sz w:val="24"/>
          <w:szCs w:val="24"/>
        </w:rPr>
        <w:t xml:space="preserve">The 16 review areas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3500"/>
        <w:gridCol w:w="3880"/>
        <w:gridCol w:w="900"/>
        <w:gridCol w:w="116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350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Area</w:t>
            </w:r>
          </w:p>
        </w:tc>
        <w:tc>
          <w:tcPr>
            <w:tcW w:type="dxa" w:w="388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The question it answers</w:t>
            </w:r>
          </w:p>
        </w:tc>
        <w:tc>
          <w:tcPr>
            <w:tcW w:type="dxa" w:w="90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Items</w:t>
            </w:r>
          </w:p>
        </w:tc>
        <w:tc>
          <w:tcPr>
            <w:tcW w:type="dxa" w:w="116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Critical items</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1</w:t>
            </w:r>
          </w:p>
        </w:tc>
        <w:tc>
          <w:tcPr>
            <w:tcW w:type="dxa" w:w="35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Governance and Legal</w:t>
            </w:r>
          </w:p>
        </w:tc>
        <w:tc>
          <w:tcPr>
            <w:tcW w:type="dxa" w:w="388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Who decides, what has been promised and what could be pending</w:t>
            </w:r>
          </w:p>
        </w:tc>
        <w:tc>
          <w:tcPr>
            <w:tcW w:type="dxa" w:w="9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10</w:t>
            </w:r>
          </w:p>
        </w:tc>
        <w:tc>
          <w:tcPr>
            <w:tcW w:type="dxa" w:w="116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5</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2</w:t>
            </w:r>
          </w:p>
        </w:tc>
        <w:tc>
          <w:tcPr>
            <w:tcW w:type="dxa" w:w="35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Regulatory and Examination</w:t>
            </w:r>
          </w:p>
        </w:tc>
        <w:tc>
          <w:tcPr>
            <w:tcW w:type="dxa" w:w="388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What examiners already know</w:t>
            </w:r>
          </w:p>
        </w:tc>
        <w:tc>
          <w:tcPr>
            <w:tcW w:type="dxa" w:w="9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6</w:t>
            </w:r>
          </w:p>
        </w:tc>
        <w:tc>
          <w:tcPr>
            <w:tcW w:type="dxa" w:w="116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3</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3</w:t>
            </w:r>
          </w:p>
        </w:tc>
        <w:tc>
          <w:tcPr>
            <w:tcW w:type="dxa" w:w="35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Financial Statements and Accounting</w:t>
            </w:r>
          </w:p>
        </w:tc>
        <w:tc>
          <w:tcPr>
            <w:tcW w:type="dxa" w:w="388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Are the numbers real?</w:t>
            </w:r>
          </w:p>
        </w:tc>
        <w:tc>
          <w:tcPr>
            <w:tcW w:type="dxa" w:w="9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8</w:t>
            </w:r>
          </w:p>
        </w:tc>
        <w:tc>
          <w:tcPr>
            <w:tcW w:type="dxa" w:w="116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2</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4</w:t>
            </w:r>
          </w:p>
        </w:tc>
        <w:tc>
          <w:tcPr>
            <w:tcW w:type="dxa" w:w="35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Capital and Net Worth</w:t>
            </w:r>
          </w:p>
        </w:tc>
        <w:tc>
          <w:tcPr>
            <w:tcW w:type="dxa" w:w="388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What capital you actually receive</w:t>
            </w:r>
          </w:p>
        </w:tc>
        <w:tc>
          <w:tcPr>
            <w:tcW w:type="dxa" w:w="9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6</w:t>
            </w:r>
          </w:p>
        </w:tc>
        <w:tc>
          <w:tcPr>
            <w:tcW w:type="dxa" w:w="116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3</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5</w:t>
            </w:r>
          </w:p>
        </w:tc>
        <w:tc>
          <w:tcPr>
            <w:tcW w:type="dxa" w:w="35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Loan Portfolio and Credit Quality</w:t>
            </w:r>
          </w:p>
        </w:tc>
        <w:tc>
          <w:tcPr>
            <w:tcW w:type="dxa" w:w="388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Where the losses are</w:t>
            </w:r>
          </w:p>
        </w:tc>
        <w:tc>
          <w:tcPr>
            <w:tcW w:type="dxa" w:w="9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16</w:t>
            </w:r>
          </w:p>
        </w:tc>
        <w:tc>
          <w:tcPr>
            <w:tcW w:type="dxa" w:w="116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7</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6</w:t>
            </w:r>
          </w:p>
        </w:tc>
        <w:tc>
          <w:tcPr>
            <w:tcW w:type="dxa" w:w="35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Allowance for Credit Losses (CECL)</w:t>
            </w:r>
          </w:p>
        </w:tc>
        <w:tc>
          <w:tcPr>
            <w:tcW w:type="dxa" w:w="388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Is the reserve right?</w:t>
            </w:r>
          </w:p>
        </w:tc>
        <w:tc>
          <w:tcPr>
            <w:tcW w:type="dxa" w:w="9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6</w:t>
            </w:r>
          </w:p>
        </w:tc>
        <w:tc>
          <w:tcPr>
            <w:tcW w:type="dxa" w:w="116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3</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7</w:t>
            </w:r>
          </w:p>
        </w:tc>
        <w:tc>
          <w:tcPr>
            <w:tcW w:type="dxa" w:w="35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Investments, Liquidity and Interest Rate Risk</w:t>
            </w:r>
          </w:p>
        </w:tc>
        <w:tc>
          <w:tcPr>
            <w:tcW w:type="dxa" w:w="388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Can it fund itself, and what happens when rates move?</w:t>
            </w:r>
          </w:p>
        </w:tc>
        <w:tc>
          <w:tcPr>
            <w:tcW w:type="dxa" w:w="9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7</w:t>
            </w:r>
          </w:p>
        </w:tc>
        <w:tc>
          <w:tcPr>
            <w:tcW w:type="dxa" w:w="116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3</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8</w:t>
            </w:r>
          </w:p>
        </w:tc>
        <w:tc>
          <w:tcPr>
            <w:tcW w:type="dxa" w:w="35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Shares and Deposits</w:t>
            </w:r>
          </w:p>
        </w:tc>
        <w:tc>
          <w:tcPr>
            <w:tcW w:type="dxa" w:w="388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How sticky is the funding?</w:t>
            </w:r>
          </w:p>
        </w:tc>
        <w:tc>
          <w:tcPr>
            <w:tcW w:type="dxa" w:w="9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6</w:t>
            </w:r>
          </w:p>
        </w:tc>
        <w:tc>
          <w:tcPr>
            <w:tcW w:type="dxa" w:w="116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1</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9</w:t>
            </w:r>
          </w:p>
        </w:tc>
        <w:tc>
          <w:tcPr>
            <w:tcW w:type="dxa" w:w="35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Technology, Data and Cybersecurity</w:t>
            </w:r>
          </w:p>
        </w:tc>
        <w:tc>
          <w:tcPr>
            <w:tcW w:type="dxa" w:w="388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What it takes to convert and protect</w:t>
            </w:r>
          </w:p>
        </w:tc>
        <w:tc>
          <w:tcPr>
            <w:tcW w:type="dxa" w:w="9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9</w:t>
            </w:r>
          </w:p>
        </w:tc>
        <w:tc>
          <w:tcPr>
            <w:tcW w:type="dxa" w:w="116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4</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10</w:t>
            </w:r>
          </w:p>
        </w:tc>
        <w:tc>
          <w:tcPr>
            <w:tcW w:type="dxa" w:w="35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Vendor and Third-Party Contracts</w:t>
            </w:r>
          </w:p>
        </w:tc>
        <w:tc>
          <w:tcPr>
            <w:tcW w:type="dxa" w:w="388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What you inherit, and what it costs to exit</w:t>
            </w:r>
          </w:p>
        </w:tc>
        <w:tc>
          <w:tcPr>
            <w:tcW w:type="dxa" w:w="9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7</w:t>
            </w:r>
          </w:p>
        </w:tc>
        <w:tc>
          <w:tcPr>
            <w:tcW w:type="dxa" w:w="116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3</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11</w:t>
            </w:r>
          </w:p>
        </w:tc>
        <w:tc>
          <w:tcPr>
            <w:tcW w:type="dxa" w:w="35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Compliance and BSA/AML</w:t>
            </w:r>
          </w:p>
        </w:tc>
        <w:tc>
          <w:tcPr>
            <w:tcW w:type="dxa" w:w="388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Regulatory risk you would own</w:t>
            </w:r>
          </w:p>
        </w:tc>
        <w:tc>
          <w:tcPr>
            <w:tcW w:type="dxa" w:w="9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7</w:t>
            </w:r>
          </w:p>
        </w:tc>
        <w:tc>
          <w:tcPr>
            <w:tcW w:type="dxa" w:w="116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3</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12</w:t>
            </w:r>
          </w:p>
        </w:tc>
        <w:tc>
          <w:tcPr>
            <w:tcW w:type="dxa" w:w="35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People and Compensation</w:t>
            </w:r>
          </w:p>
        </w:tc>
        <w:tc>
          <w:tcPr>
            <w:tcW w:type="dxa" w:w="388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Commitments to staff and leadership</w:t>
            </w:r>
          </w:p>
        </w:tc>
        <w:tc>
          <w:tcPr>
            <w:tcW w:type="dxa" w:w="9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9</w:t>
            </w:r>
          </w:p>
        </w:tc>
        <w:tc>
          <w:tcPr>
            <w:tcW w:type="dxa" w:w="116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3</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13</w:t>
            </w:r>
          </w:p>
        </w:tc>
        <w:tc>
          <w:tcPr>
            <w:tcW w:type="dxa" w:w="35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Facilities and Branches</w:t>
            </w:r>
          </w:p>
        </w:tc>
        <w:tc>
          <w:tcPr>
            <w:tcW w:type="dxa" w:w="388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Where members are served</w:t>
            </w:r>
          </w:p>
        </w:tc>
        <w:tc>
          <w:tcPr>
            <w:tcW w:type="dxa" w:w="9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4</w:t>
            </w:r>
          </w:p>
        </w:tc>
        <w:tc>
          <w:tcPr>
            <w:tcW w:type="dxa" w:w="116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1</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14</w:t>
            </w:r>
          </w:p>
        </w:tc>
        <w:tc>
          <w:tcPr>
            <w:tcW w:type="dxa" w:w="35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Members, Products and Brand</w:t>
            </w:r>
          </w:p>
        </w:tc>
        <w:tc>
          <w:tcPr>
            <w:tcW w:type="dxa" w:w="388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What members will experience</w:t>
            </w:r>
          </w:p>
        </w:tc>
        <w:tc>
          <w:tcPr>
            <w:tcW w:type="dxa" w:w="9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5</w:t>
            </w:r>
          </w:p>
        </w:tc>
        <w:tc>
          <w:tcPr>
            <w:tcW w:type="dxa" w:w="116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1</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15</w:t>
            </w:r>
          </w:p>
        </w:tc>
        <w:tc>
          <w:tcPr>
            <w:tcW w:type="dxa" w:w="35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Insurance and Enterprise Risk</w:t>
            </w:r>
          </w:p>
        </w:tc>
        <w:tc>
          <w:tcPr>
            <w:tcW w:type="dxa" w:w="388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What is covered and what is not</w:t>
            </w:r>
          </w:p>
        </w:tc>
        <w:tc>
          <w:tcPr>
            <w:tcW w:type="dxa" w:w="9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4</w:t>
            </w:r>
          </w:p>
        </w:tc>
        <w:tc>
          <w:tcPr>
            <w:tcW w:type="dxa" w:w="116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1</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16</w:t>
            </w:r>
          </w:p>
        </w:tc>
        <w:tc>
          <w:tcPr>
            <w:tcW w:type="dxa" w:w="35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Merger Transaction and Accounting</w:t>
            </w:r>
          </w:p>
        </w:tc>
        <w:tc>
          <w:tcPr>
            <w:tcW w:type="dxa" w:w="388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Getting to closing</w:t>
            </w:r>
          </w:p>
        </w:tc>
        <w:tc>
          <w:tcPr>
            <w:tcW w:type="dxa" w:w="9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7</w:t>
            </w:r>
          </w:p>
        </w:tc>
        <w:tc>
          <w:tcPr>
            <w:tcW w:type="dxa" w:w="116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4</w:t>
            </w:r>
          </w:p>
        </w:tc>
      </w:tr>
      <w:tr>
        <w:trPr>
          <w:cantSplit/>
        </w:trPr>
        <w:tc>
          <w:tcPr>
            <w:tcW w:type="dxa" w:w="8020"/>
            <w:gridSpan w:val="3"/>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Total</w:t>
            </w:r>
          </w:p>
        </w:tc>
        <w:tc>
          <w:tcPr>
            <w:tcW w:type="dxa" w:w="900"/>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8"/>
                <w:szCs w:val="18"/>
              </w:rPr>
              <w:t xml:space="preserve">117</w:t>
            </w:r>
          </w:p>
        </w:tc>
        <w:tc>
          <w:tcPr>
            <w:tcW w:type="dxa" w:w="1160"/>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jc w:val="center"/>
            </w:pPr>
            <w:r>
              <w:rPr>
                <w:rFonts w:ascii="Arial" w:cs="Arial" w:eastAsia="Arial" w:hAnsi="Arial"/>
                <w:b/>
                <w:bCs/>
                <w:color w:val="7AC1EA"/>
                <w:sz w:val="18"/>
                <w:szCs w:val="18"/>
              </w:rPr>
              <w:t xml:space="preserve">47</w:t>
            </w:r>
          </w:p>
        </w:tc>
      </w:tr>
    </w:tbl>
    <w:p>
      <w:pPr>
        <w:spacing w:after="100" w:before="100"/>
      </w:pPr>
      <w:r>
        <w:rPr>
          <w:rFonts w:ascii="Arial" w:cs="Arial" w:eastAsia="Arial" w:hAnsi="Arial"/>
          <w:b/>
          <w:bCs/>
          <w:color w:val="0D2A78"/>
          <w:sz w:val="18"/>
          <w:szCs w:val="18"/>
        </w:rPr>
        <w:t xml:space="preserve">Key: </w:t>
      </w:r>
      <w:r>
        <w:rPr>
          <w:rFonts w:ascii="Arial" w:cs="Arial" w:eastAsia="Arial" w:hAnsi="Arial"/>
          <w:b/>
          <w:bCs/>
          <w:color w:val="A61B1B"/>
          <w:sz w:val="18"/>
          <w:szCs w:val="18"/>
        </w:rPr>
        <w:t xml:space="preserve">Critical items</w:t>
      </w:r>
      <w:r>
        <w:rPr>
          <w:rFonts w:ascii="Arial" w:cs="Arial" w:eastAsia="Arial" w:hAnsi="Arial"/>
          <w:color w:val="1F2937"/>
          <w:sz w:val="18"/>
          <w:szCs w:val="18"/>
        </w:rPr>
        <w:t xml:space="preserve"> are the reviews most likely to change the price, the terms or the decision. Do them first. Each one is marked </w:t>
      </w:r>
      <w:r>
        <w:rPr>
          <w:rFonts w:ascii="Segoe UI Symbol" w:cs="Segoe UI Symbol" w:eastAsia="Segoe UI Symbol" w:hAnsi="Segoe UI Symbol"/>
          <w:color w:val="A61B1B"/>
          <w:sz w:val="16"/>
          <w:szCs w:val="16"/>
        </w:rPr>
        <w:t xml:space="preserve">◆ </w:t>
      </w:r>
      <w:r>
        <w:rPr>
          <w:rFonts w:ascii="Arial" w:cs="Arial" w:eastAsia="Arial" w:hAnsi="Arial"/>
          <w:color w:val="1F2937"/>
          <w:sz w:val="18"/>
          <w:szCs w:val="18"/>
        </w:rPr>
        <w:t xml:space="preserve">in the review tables below.</w:t>
      </w:r>
    </w:p>
    <w:p>
      <w:pPr>
        <w:pStyle w:val="Heading1"/>
        <w:keepNext/>
        <w:pBdr>
          <w:bottom w:val="single" w:color="7AC1EA" w:sz="12" w:space="4"/>
        </w:pBdr>
        <w:spacing w:after="140" w:before="320"/>
      </w:pPr>
      <w:r>
        <w:rPr>
          <w:rFonts w:ascii="Arial" w:cs="Arial" w:eastAsia="Arial" w:hAnsi="Arial"/>
          <w:b/>
          <w:bCs/>
          <w:color w:val="0D2A78"/>
          <w:sz w:val="30"/>
          <w:szCs w:val="30"/>
        </w:rPr>
        <w:t xml:space="preserve">Review areas</w:t>
      </w:r>
    </w:p>
    <w:p>
      <w:pPr>
        <w:pStyle w:val="Heading2"/>
        <w:keepNext/>
        <w:spacing w:after="100" w:before="260"/>
      </w:pPr>
      <w:r>
        <w:rPr>
          <w:rFonts w:ascii="Arial" w:cs="Arial" w:eastAsia="Arial" w:hAnsi="Arial"/>
          <w:b/>
          <w:bCs/>
          <w:color w:val="091B4F"/>
          <w:sz w:val="24"/>
          <w:szCs w:val="24"/>
        </w:rPr>
        <w:t xml:space="preserve">1. Governance and Legal</w:t>
      </w:r>
      <w:r>
        <w:rPr>
          <w:rFonts w:ascii="Arial" w:cs="Arial" w:eastAsia="Arial" w:hAnsi="Arial"/>
          <w:color w:val="3F9CD4"/>
          <w:sz w:val="18"/>
          <w:szCs w:val="18"/>
        </w:rPr>
        <w:t xml:space="preserve">   Who decides, what has been promised and what could be pending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Charter, bylaws and amendments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Current, approved versions. Provisions that affect the merger vote, board seats or name.</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Field of membership</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Charter type, underserved areas and overlap with yours. Whether your charter can absorb it as is.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Board and committee minutes, last 36 months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Every reference to the merger, other partners, exam findings, losses, litigation or executive pay. NCUA reviews 24 months of merger-related minutes.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Supervisory committee reports and audit engagement letters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Open findings, member complaints and unresolved issues.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1.5</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Board, committee and senior management roster</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Terms, attendance, conflicts of interest, family relationships and succession.</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1.6</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Policies manual</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Last approval dates. Policies that are missing, outdated or not followed.</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1.7</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Litigation, claims and demand letters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Pending or threatened suits, attorney letters to auditors, settlements and legal reserves.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1.8</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Contracts with insiders and related parties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Loans, leases, consulting or vendor ties to directors, staff or their families.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1.9</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Merger-related financial arrangements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Any increase in pay or benefits for covered persons tied to the merger, in the last 24 months or promised. Increases over the greater of $10,000 or 15% must be disclosed to members.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1.10</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Prior merger, purchase and assumption, or charter conversion files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Unfinished obligations, earn-outs and member commitments still in force.</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1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reprice</w:t>
            </w:r>
          </w:p>
        </w:tc>
      </w:tr>
    </w:tbl>
    <w:p>
      <w:pPr>
        <w:pStyle w:val="Heading2"/>
        <w:keepNext/>
        <w:spacing w:after="100" w:before="260"/>
      </w:pPr>
      <w:r>
        <w:rPr>
          <w:rFonts w:ascii="Arial" w:cs="Arial" w:eastAsia="Arial" w:hAnsi="Arial"/>
          <w:b/>
          <w:bCs/>
          <w:color w:val="091B4F"/>
          <w:sz w:val="24"/>
          <w:szCs w:val="24"/>
        </w:rPr>
        <w:t xml:space="preserve">2. Regulatory and Examination</w:t>
      </w:r>
      <w:r>
        <w:rPr>
          <w:rFonts w:ascii="Arial" w:cs="Arial" w:eastAsia="Arial" w:hAnsi="Arial"/>
          <w:color w:val="3F9CD4"/>
          <w:sz w:val="18"/>
          <w:szCs w:val="18"/>
        </w:rPr>
        <w:t xml:space="preserve">   What examiners already know</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2.1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NCUA and state examination reports, last 3 cycles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CAMELS ratings and trends, examiner findings and repeat findings.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2.2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Documents of Resolution, Letters of Understanding and Agreement, enforcement actions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Open items, deadlines and whether they transfer to you.</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2.3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Regulatory correspondence and waivers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Approvals with conditions, waivers and pending applications.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2.4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Call Report filings, last 8 quarters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Reconcile to the general ledger. Amendments and restatements. Run both charters in the SPM Merger Analysis.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2.5</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Low-income, community development financial institution and minority designations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Whether designations, grants or secondary capital survive the merger.</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2.6</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Consumer complaints to NCUA, CFPB and state</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Volume, themes and how they were resolved.</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2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reprice</w:t>
            </w:r>
          </w:p>
        </w:tc>
      </w:tr>
    </w:tbl>
    <w:p>
      <w:pPr>
        <w:pStyle w:val="Heading2"/>
        <w:keepNext/>
        <w:spacing w:after="100" w:before="260"/>
      </w:pPr>
      <w:r>
        <w:rPr>
          <w:rFonts w:ascii="Arial" w:cs="Arial" w:eastAsia="Arial" w:hAnsi="Arial"/>
          <w:b/>
          <w:bCs/>
          <w:color w:val="091B4F"/>
          <w:sz w:val="24"/>
          <w:szCs w:val="24"/>
        </w:rPr>
        <w:t xml:space="preserve">3. Financial Statements and Accounting</w:t>
      </w:r>
      <w:r>
        <w:rPr>
          <w:rFonts w:ascii="Arial" w:cs="Arial" w:eastAsia="Arial" w:hAnsi="Arial"/>
          <w:color w:val="3F9CD4"/>
          <w:sz w:val="18"/>
          <w:szCs w:val="18"/>
        </w:rPr>
        <w:t xml:space="preserve">   Are the numbers real?</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3.1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Audited financial statements and management letters, 3 years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Opinion type, material weaknesses, going-concern language and auditor changes.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3.2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Monthly financials and budget versus actual, 24 months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Earnings trend, one-time items and unrealistic budgets.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3.3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General ledger reconciliations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Stale reconciling items, suspense and clearing accounts, and unreconciled differences.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3.4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Accruals, prepaid assets and deferred items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Under-accrued expenses, aggressive capitalization, deferred loan fees and costs.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3.5</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Fixed asset register and depreciation</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Fully depreciated assets in use, impairments and capitalized software.</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3.6</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Goodwill and intangibles from earlier mergers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Impairment testing and carrying values.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3.7</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Off-balance-sheet commitments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Unfunded loan commitments, lines of credit, guarantees and their credit loss reserve.</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3.8</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Fee income and interchange detail</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Dependence on overdraft or nonsufficient funds fees and regulatory exposure.</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3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reprice</w:t>
            </w:r>
          </w:p>
        </w:tc>
      </w:tr>
    </w:tbl>
    <w:p>
      <w:pPr>
        <w:pStyle w:val="Heading2"/>
        <w:keepNext/>
        <w:spacing w:after="100" w:before="260"/>
      </w:pPr>
      <w:r>
        <w:rPr>
          <w:rFonts w:ascii="Arial" w:cs="Arial" w:eastAsia="Arial" w:hAnsi="Arial"/>
          <w:b/>
          <w:bCs/>
          <w:color w:val="091B4F"/>
          <w:sz w:val="24"/>
          <w:szCs w:val="24"/>
        </w:rPr>
        <w:t xml:space="preserve">4. Capital and Net Worth</w:t>
      </w:r>
      <w:r>
        <w:rPr>
          <w:rFonts w:ascii="Arial" w:cs="Arial" w:eastAsia="Arial" w:hAnsi="Arial"/>
          <w:color w:val="3F9CD4"/>
          <w:sz w:val="18"/>
          <w:szCs w:val="18"/>
        </w:rPr>
        <w:t xml:space="preserve">   What capital you actually receive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4.1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Net worth ratio trend, 8 quarters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Direction and drivers. Distance from well capitalized at 7%.</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4.2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Risk-based capital or complex credit union leverage ratio (assets over $500 million)</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Current ratios and what the combination does to yours.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4.3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Subordinated debt and secondary capital</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Terms, maturity, regulatory approval and treatment after the merger.</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4.4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Unrealized losses on securities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Size against equity. Fair value marks will absorb them at closing.</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4.5</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Pro forma combined net worth after merger accounting</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Use the SPM Merger Analysis Combined Balance Sheet. Test it after fair value marks and merger costs.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4.6</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NCUSIF deposit and share insurance</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Overlapping members whose combined balances may exceed coverage. Notice is required within 3 months after the merger.</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4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reprice</w:t>
            </w:r>
          </w:p>
        </w:tc>
      </w:tr>
    </w:tbl>
    <w:p>
      <w:pPr>
        <w:pStyle w:val="Heading2"/>
        <w:keepNext/>
        <w:spacing w:after="100" w:before="260"/>
      </w:pPr>
      <w:r>
        <w:rPr>
          <w:rFonts w:ascii="Arial" w:cs="Arial" w:eastAsia="Arial" w:hAnsi="Arial"/>
          <w:b/>
          <w:bCs/>
          <w:color w:val="091B4F"/>
          <w:sz w:val="24"/>
          <w:szCs w:val="24"/>
        </w:rPr>
        <w:t xml:space="preserve">5. Loan Portfolio and Credit Quality</w:t>
      </w:r>
      <w:r>
        <w:rPr>
          <w:rFonts w:ascii="Arial" w:cs="Arial" w:eastAsia="Arial" w:hAnsi="Arial"/>
          <w:color w:val="3F9CD4"/>
          <w:sz w:val="18"/>
          <w:szCs w:val="18"/>
        </w:rPr>
        <w:t xml:space="preserve">   Where the losses are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5.1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Loan trial balance reconciled to the general ledger</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Complete data file by loan type, rate, maturity, credit score and collateral.</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5.2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Delinquent loan list</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Aging by loan type, trend over 12 months and concentration in a few borrowers.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5.3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Charge-offs and recoveries, 3 years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Loss rates against peers. Recoveries that look too high.</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5.4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Modifications, extensions, re-ages and workouts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Loans kept current by modification. Policy limits on re-aging.</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5.5</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Watch list and internal loan review reports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Risk ratings, downgrades and independent review findings.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5.6</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Underwriting policies and exception reports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Exception volume, credit score floors and debt-to-income limits.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5.7</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Concentrations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Indirect auto, commercial real estate, single industries, single employers and large borrowers.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5.8</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Indirect lending dealer agreements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Dealer reserves, recourse and dealer performance.</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5.9</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Member business loans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Credit files, covenants, appraisals, annual reviews and commercial lending expertise.</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5.10</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Real estate loans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Appraisals, lien perfection, escrow, flood determinations and adjustable rate resets.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5.11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Loan participations purchased and sold</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Agreements, servicer performance and recourse.</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5.12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Loans serviced for others and mortgage servicing rights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Servicing agreements, valuation and investor obligations.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5.13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Insider loans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Terms no better than members receive, and approvals under NCUA insider lending rules.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5.14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Collateral and document sample review</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A file sample for signed notes, titles, liens and insurance.</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5.15</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Foreclosed and repossessed assets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Carrying values, holding costs and time held.</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5.16</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Collections and recovery practices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Third-party collectors, legal compliance and complaints.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5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reprice</w:t>
            </w:r>
          </w:p>
        </w:tc>
      </w:tr>
    </w:tbl>
    <w:p>
      <w:pPr>
        <w:pStyle w:val="Heading2"/>
        <w:keepNext/>
        <w:spacing w:after="100" w:before="260"/>
      </w:pPr>
      <w:r>
        <w:rPr>
          <w:rFonts w:ascii="Arial" w:cs="Arial" w:eastAsia="Arial" w:hAnsi="Arial"/>
          <w:b/>
          <w:bCs/>
          <w:color w:val="091B4F"/>
          <w:sz w:val="24"/>
          <w:szCs w:val="24"/>
        </w:rPr>
        <w:t xml:space="preserve">6. Allowance for Credit Losses (CECL)</w:t>
      </w:r>
      <w:r>
        <w:rPr>
          <w:rFonts w:ascii="Arial" w:cs="Arial" w:eastAsia="Arial" w:hAnsi="Arial"/>
          <w:color w:val="3F9CD4"/>
          <w:sz w:val="18"/>
          <w:szCs w:val="18"/>
        </w:rPr>
        <w:t xml:space="preserve">   Is the reserve right?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6.1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CECL model and methodology documentation</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Model type, data, segments and vendor or in-house.</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6.2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Quarterly CECL reports, 8 quarters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Reserve as a percent of loans, against peers and against actual losses.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6.3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Assumptions and qualitative factors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Forecast periods, reversion and qualitative overlays that drive the result.</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6.4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Back-testing and independent model validation</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Reserve against actual charge-offs. Validation findings.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6.5</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Reserve for unfunded commitments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Calculated and booked.</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6.6</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Purchased credit-deteriorated loans at acquisition</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Plan to identify them and set their reserve under business combination accounting.</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6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reprice</w:t>
            </w:r>
          </w:p>
        </w:tc>
      </w:tr>
    </w:tbl>
    <w:p>
      <w:pPr>
        <w:pStyle w:val="Heading2"/>
        <w:keepNext/>
        <w:spacing w:after="100" w:before="260"/>
      </w:pPr>
      <w:r>
        <w:rPr>
          <w:rFonts w:ascii="Arial" w:cs="Arial" w:eastAsia="Arial" w:hAnsi="Arial"/>
          <w:b/>
          <w:bCs/>
          <w:color w:val="091B4F"/>
          <w:sz w:val="24"/>
          <w:szCs w:val="24"/>
        </w:rPr>
        <w:t xml:space="preserve">7. Investments, Liquidity and Interest Rate Risk</w:t>
      </w:r>
      <w:r>
        <w:rPr>
          <w:rFonts w:ascii="Arial" w:cs="Arial" w:eastAsia="Arial" w:hAnsi="Arial"/>
          <w:color w:val="3F9CD4"/>
          <w:sz w:val="18"/>
          <w:szCs w:val="18"/>
        </w:rPr>
        <w:t xml:space="preserve">   Can it fund itself, and what happens when rates move?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7.1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Investment portfolio listing and policy</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Holdings, ratings, maturities, unrealized losses and policy compliance.</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7.2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Asset liability management reports and model assumptions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Net economic value and earnings at risk under rate shocks, against policy limits.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7.3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Liquidity reports and contingency funding plan</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Sources, stress tests and early warning triggers.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7.4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Borrowing lines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Federal Home Loan Bank, corporate credit union and Central Liquidity Facility access, pledged collateral and covenants.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7.5</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Brokered and wholesale funding</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Dependence, maturities and rate sensitivity.</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7.6</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Derivatives and hedging</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Authority, documentation and accounting.</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7.7</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CUSO investments and loans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Ownership, financials, guarantees and exit terms.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7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reprice</w:t>
            </w:r>
          </w:p>
        </w:tc>
      </w:tr>
    </w:tbl>
    <w:p>
      <w:pPr>
        <w:pStyle w:val="Heading2"/>
        <w:keepNext/>
        <w:spacing w:after="100" w:before="260"/>
      </w:pPr>
      <w:r>
        <w:rPr>
          <w:rFonts w:ascii="Arial" w:cs="Arial" w:eastAsia="Arial" w:hAnsi="Arial"/>
          <w:b/>
          <w:bCs/>
          <w:color w:val="091B4F"/>
          <w:sz w:val="24"/>
          <w:szCs w:val="24"/>
        </w:rPr>
        <w:t xml:space="preserve">8. Shares and Deposits</w:t>
      </w:r>
      <w:r>
        <w:rPr>
          <w:rFonts w:ascii="Arial" w:cs="Arial" w:eastAsia="Arial" w:hAnsi="Arial"/>
          <w:color w:val="3F9CD4"/>
          <w:sz w:val="18"/>
          <w:szCs w:val="18"/>
        </w:rPr>
        <w:t xml:space="preserve">   How sticky is the funding?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8.1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Share trial balance reconciled to the general ledger</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By product, rate and maturity.</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8.2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Certificate maturity schedule and rates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Promotional rates, early withdrawal terms and repricing risk.</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8.3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Large depositors and public units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Concentration and uninsured balances.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8.4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Dormant accounts and escheat</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State reporting compliance.</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8.5</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Dividend and rate structure against yours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Member impact when products are mapped.</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8.6</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Fee schedules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Changes members will see and disclosure requirements.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8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reprice</w:t>
            </w:r>
          </w:p>
        </w:tc>
      </w:tr>
    </w:tbl>
    <w:p>
      <w:pPr>
        <w:pStyle w:val="Heading2"/>
        <w:keepNext/>
        <w:spacing w:after="100" w:before="260"/>
      </w:pPr>
      <w:r>
        <w:rPr>
          <w:rFonts w:ascii="Arial" w:cs="Arial" w:eastAsia="Arial" w:hAnsi="Arial"/>
          <w:b/>
          <w:bCs/>
          <w:color w:val="091B4F"/>
          <w:sz w:val="24"/>
          <w:szCs w:val="24"/>
        </w:rPr>
        <w:t xml:space="preserve">9. Technology, Data and Cybersecurity</w:t>
      </w:r>
      <w:r>
        <w:rPr>
          <w:rFonts w:ascii="Arial" w:cs="Arial" w:eastAsia="Arial" w:hAnsi="Arial"/>
          <w:color w:val="3F9CD4"/>
          <w:sz w:val="18"/>
          <w:szCs w:val="18"/>
        </w:rPr>
        <w:t xml:space="preserve">   What it takes to convert and protect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9.1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Systems inventory</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Core, digital banking, card, loan origination, imaging, general ledger and data warehouse.</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9.2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Core and digital contracts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Expiration, de-conversion fees, change-of-control terms and conversion windows.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9.3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IT examination findings and audits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Open findings and repeat issues.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9.4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Cybersecurity assessments and penetration tests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Recent results, remediation and critical vulnerabilities.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9.5</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Cyber incident history</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Breaches, ransomware and notices filed with NCUA under the 72-hour reporting rule.</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9.6</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Business continuity and disaster recovery plans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Last test results and recovery times.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9.7</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Information security program and access reviews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Board-approved program, access rights and terminated user removal.</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9.8</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Data quality for conversion</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Duplicate members, missing data and custom fields.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9.9</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Websites and mobile apps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Accessibility, domain names and app store ownership.</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9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reprice</w:t>
            </w:r>
          </w:p>
        </w:tc>
      </w:tr>
    </w:tbl>
    <w:p>
      <w:pPr>
        <w:pStyle w:val="Heading2"/>
        <w:keepNext/>
        <w:spacing w:after="100" w:before="260"/>
      </w:pPr>
      <w:r>
        <w:rPr>
          <w:rFonts w:ascii="Arial" w:cs="Arial" w:eastAsia="Arial" w:hAnsi="Arial"/>
          <w:b/>
          <w:bCs/>
          <w:color w:val="091B4F"/>
          <w:sz w:val="24"/>
          <w:szCs w:val="24"/>
        </w:rPr>
        <w:t xml:space="preserve">10. Vendor and Third-Party Contracts</w:t>
      </w:r>
      <w:r>
        <w:rPr>
          <w:rFonts w:ascii="Arial" w:cs="Arial" w:eastAsia="Arial" w:hAnsi="Arial"/>
          <w:color w:val="3F9CD4"/>
          <w:sz w:val="18"/>
          <w:szCs w:val="18"/>
        </w:rPr>
        <w:t xml:space="preserve">   What you inherit, and what it costs to exit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10.1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Full contract inventory</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Every vendor, term, renewal date, annual cost and owner.</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10.2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Termination, de-conversion and liquidated damages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Exit cost for each contract. These are often the largest hidden merger costs.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10.3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Assignment and change-of-control clauses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Contracts that need consent or end on merger.</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10.4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Auto-renewal dates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Notice windows that fall before closing or conversion.</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10.5</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Vendor due diligence files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SOC reports, financials and risk ratings for critical vendors.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10.6</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Card network, ATM and shared branching agreements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Exclusivity, volume commitments and incentives to repay.</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10.7</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Marketing, sponsorship and naming-rights agreements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Multi-year commitments and community expectations.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10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reprice</w:t>
            </w:r>
          </w:p>
        </w:tc>
      </w:tr>
    </w:tbl>
    <w:p>
      <w:pPr>
        <w:pStyle w:val="Heading2"/>
        <w:keepNext/>
        <w:spacing w:after="100" w:before="260"/>
      </w:pPr>
      <w:r>
        <w:rPr>
          <w:rFonts w:ascii="Arial" w:cs="Arial" w:eastAsia="Arial" w:hAnsi="Arial"/>
          <w:b/>
          <w:bCs/>
          <w:color w:val="091B4F"/>
          <w:sz w:val="24"/>
          <w:szCs w:val="24"/>
        </w:rPr>
        <w:t xml:space="preserve">11. Compliance and BSA/AML</w:t>
      </w:r>
      <w:r>
        <w:rPr>
          <w:rFonts w:ascii="Arial" w:cs="Arial" w:eastAsia="Arial" w:hAnsi="Arial"/>
          <w:color w:val="3F9CD4"/>
          <w:sz w:val="18"/>
          <w:szCs w:val="18"/>
        </w:rPr>
        <w:t xml:space="preserve">   Regulatory risk you would own</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11.1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Compliance management system and compliance audits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Ownership, monitoring and audit findings.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11.2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BSA/AML independent test and risk assessment</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Findings, high-risk member base and the BSA officer's capacity.</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11.3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SAR and CTR processes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Timeliness and quality. SAR details are confidential, so review processes and volumes, not individual reports.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11.4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OFAC screening</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Frequency, coverage and alert handling.</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11.5</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Fair lending</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Pricing and underwriting analysis and indirect dealer markups.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11.6</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Consumer protection</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Regulations E, Z, CC, DD, flood, SCRA, privacy and UDAAP findings.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11.7</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Marijuana-related, money services and other high-risk businesses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Programs and policies, and whether you will continue them.</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11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reprice</w:t>
            </w:r>
          </w:p>
        </w:tc>
      </w:tr>
    </w:tbl>
    <w:p>
      <w:pPr>
        <w:pStyle w:val="Heading2"/>
        <w:keepNext/>
        <w:spacing w:after="100" w:before="260"/>
      </w:pPr>
      <w:r>
        <w:rPr>
          <w:rFonts w:ascii="Arial" w:cs="Arial" w:eastAsia="Arial" w:hAnsi="Arial"/>
          <w:b/>
          <w:bCs/>
          <w:color w:val="091B4F"/>
          <w:sz w:val="24"/>
          <w:szCs w:val="24"/>
        </w:rPr>
        <w:t xml:space="preserve">12. People and Compensation</w:t>
      </w:r>
      <w:r>
        <w:rPr>
          <w:rFonts w:ascii="Arial" w:cs="Arial" w:eastAsia="Arial" w:hAnsi="Arial"/>
          <w:color w:val="3F9CD4"/>
          <w:sz w:val="18"/>
          <w:szCs w:val="18"/>
        </w:rPr>
        <w:t xml:space="preserve">   Commitments to staff and leadership</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12.1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Organization chart and employee census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Roles, tenure, pay and key person risk.</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12.2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Employment, severance, change-in-control and retention agreements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Triggers and total cost on merger.</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12.3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Executive benefit plans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SERPs, 457(f), split-dollar and deferred compensation. Funding and vesting on merger.</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12.4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Pension and retirement plans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Defined benefit underfunding, withdrawal liability and plan merger requirements.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12.5</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Health and welfare benefits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Plan costs and renewal dates.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12.6</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Paid time off accruals and payouts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Liability and policy differences.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12.7</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HR claims, investigations and turnover</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Discrimination, wage and hour claims and recent exits.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12.8</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Union agreements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Bargaining obligations.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12.9</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Culture and engagement</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Surveys, interviews and service culture fit.</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12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reprice</w:t>
            </w:r>
          </w:p>
        </w:tc>
      </w:tr>
    </w:tbl>
    <w:p>
      <w:pPr>
        <w:pStyle w:val="Heading2"/>
        <w:keepNext/>
        <w:spacing w:after="100" w:before="260"/>
      </w:pPr>
      <w:r>
        <w:rPr>
          <w:rFonts w:ascii="Arial" w:cs="Arial" w:eastAsia="Arial" w:hAnsi="Arial"/>
          <w:b/>
          <w:bCs/>
          <w:color w:val="091B4F"/>
          <w:sz w:val="24"/>
          <w:szCs w:val="24"/>
        </w:rPr>
        <w:t xml:space="preserve">13. Facilities and Branches</w:t>
      </w:r>
      <w:r>
        <w:rPr>
          <w:rFonts w:ascii="Arial" w:cs="Arial" w:eastAsia="Arial" w:hAnsi="Arial"/>
          <w:color w:val="3F9CD4"/>
          <w:sz w:val="18"/>
          <w:szCs w:val="18"/>
        </w:rPr>
        <w:t xml:space="preserve">   Where members are served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13.1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Owned and leased property list</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Titles, lease terms, renewal options and assignment rights.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13.2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Branch and ATM performance</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Members, transactions, deposits and loans per branch.</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13.3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Property condition, environmental and ADA</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Deferred maintenance, environmental reports and accessibility.</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13.4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Branch commitments to members and communities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What the merger plan promises to keep open.</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13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reprice</w:t>
            </w:r>
          </w:p>
        </w:tc>
      </w:tr>
    </w:tbl>
    <w:p>
      <w:pPr>
        <w:pStyle w:val="Heading2"/>
        <w:keepNext/>
        <w:spacing w:after="100" w:before="260"/>
      </w:pPr>
      <w:r>
        <w:rPr>
          <w:rFonts w:ascii="Arial" w:cs="Arial" w:eastAsia="Arial" w:hAnsi="Arial"/>
          <w:b/>
          <w:bCs/>
          <w:color w:val="091B4F"/>
          <w:sz w:val="24"/>
          <w:szCs w:val="24"/>
        </w:rPr>
        <w:t xml:space="preserve">14. Members, Products and Brand</w:t>
      </w:r>
      <w:r>
        <w:rPr>
          <w:rFonts w:ascii="Arial" w:cs="Arial" w:eastAsia="Arial" w:hAnsi="Arial"/>
          <w:color w:val="3F9CD4"/>
          <w:sz w:val="18"/>
          <w:szCs w:val="18"/>
        </w:rPr>
        <w:t xml:space="preserve">   What members will experience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14.1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Membership trends and demographics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Growth or decline, age and select employee groups.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14.2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Product and pricing inventory</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Map every product to yours and identify losers.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14.3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Member complaints and satisfaction</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Themes and service gaps.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14.4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Brand, trademarks and domain names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Ownership, registrations and the plan for the name.</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14.5</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Community commitments and sponsorships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Local expectations and reputational risk.</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14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reprice</w:t>
            </w:r>
          </w:p>
        </w:tc>
      </w:tr>
    </w:tbl>
    <w:p>
      <w:pPr>
        <w:pStyle w:val="Heading2"/>
        <w:keepNext/>
        <w:spacing w:after="100" w:before="260"/>
      </w:pPr>
      <w:r>
        <w:rPr>
          <w:rFonts w:ascii="Arial" w:cs="Arial" w:eastAsia="Arial" w:hAnsi="Arial"/>
          <w:b/>
          <w:bCs/>
          <w:color w:val="091B4F"/>
          <w:sz w:val="24"/>
          <w:szCs w:val="24"/>
        </w:rPr>
        <w:t xml:space="preserve">15. Insurance and Enterprise Risk</w:t>
      </w:r>
      <w:r>
        <w:rPr>
          <w:rFonts w:ascii="Arial" w:cs="Arial" w:eastAsia="Arial" w:hAnsi="Arial"/>
          <w:color w:val="3F9CD4"/>
          <w:sz w:val="18"/>
          <w:szCs w:val="18"/>
        </w:rPr>
        <w:t xml:space="preserve">   What is covered and what is not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15.1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Fidelity bond and insurance policies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Coverage, limits, exclusions and tail coverage for directors and officers.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15.2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Claims history</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Bond claims, fraud losses and cyber claims.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15.3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Enterprise risk register and internal audit plan</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Top risks and open audit items.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15.4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Fraud losses and controls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Card, check, wire and account takeover losses.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15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reprice</w:t>
            </w:r>
          </w:p>
        </w:tc>
      </w:tr>
    </w:tbl>
    <w:p>
      <w:pPr>
        <w:pStyle w:val="Heading2"/>
        <w:keepNext/>
        <w:spacing w:after="100" w:before="260"/>
      </w:pPr>
      <w:r>
        <w:rPr>
          <w:rFonts w:ascii="Arial" w:cs="Arial" w:eastAsia="Arial" w:hAnsi="Arial"/>
          <w:b/>
          <w:bCs/>
          <w:color w:val="091B4F"/>
          <w:sz w:val="24"/>
          <w:szCs w:val="24"/>
        </w:rPr>
        <w:t xml:space="preserve">16. Merger Transaction and Accounting</w:t>
      </w:r>
      <w:r>
        <w:rPr>
          <w:rFonts w:ascii="Arial" w:cs="Arial" w:eastAsia="Arial" w:hAnsi="Arial"/>
          <w:color w:val="3F9CD4"/>
          <w:sz w:val="18"/>
          <w:szCs w:val="18"/>
        </w:rPr>
        <w:t xml:space="preserve">   Getting to closing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16.1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Merger plan and agreement</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Terms, conditions, member value, board seats, name and staff commitments.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16.2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NCUA and state requirements under Part 708b</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Merger package, member notice and vote, merger-related financial arrangement certification and timelines.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16.3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Fair value estimates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Loans, deposits, investments, real estate and core deposit intangible. Bargain purchase gain or goodwill.</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16.4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Merger costs budget</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Contract terminations, conversion, severance, legal, accounting and marketing.</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16.5</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Tax and legal entity matters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CUSOs, subsidiaries, unrelated business income and property tax.</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16.6</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Integration plan</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Conversion date, 100-day plan, owners and milestones. SPM Adds, Changes and Strategies agenda.</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16.7</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Member and staff communications plan</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Messages, timing and who delivers them.</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16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reprice</w:t>
            </w:r>
          </w:p>
        </w:tc>
      </w:tr>
    </w:tbl>
    <w:p>
      <w:pPr>
        <w:pStyle w:val="Heading1"/>
        <w:keepNext/>
        <w:pageBreakBefore/>
        <w:pBdr>
          <w:bottom w:val="single" w:color="7AC1EA" w:sz="12" w:space="4"/>
        </w:pBdr>
        <w:spacing w:after="140" w:before="320"/>
      </w:pPr>
      <w:r>
        <w:rPr>
          <w:rFonts w:ascii="Arial" w:cs="Arial" w:eastAsia="Arial" w:hAnsi="Arial"/>
          <w:b/>
          <w:bCs/>
          <w:color w:val="0D2A78"/>
          <w:sz w:val="30"/>
          <w:szCs w:val="30"/>
        </w:rPr>
        <w:t xml:space="preserve">Red flags</w:t>
      </w:r>
    </w:p>
    <w:p>
      <w:pPr>
        <w:spacing w:after="100" w:line="276"/>
      </w:pPr>
      <w:r>
        <w:rPr>
          <w:rFonts w:ascii="Arial" w:cs="Arial" w:eastAsia="Arial" w:hAnsi="Arial"/>
          <w:color w:val="1F2937"/>
          <w:sz w:val="20"/>
          <w:szCs w:val="20"/>
        </w:rPr>
        <w:t xml:space="preserve">Any of these can stop the merger, change the price or require conditions in the merger agreement. Escalate to the CEO and board as soon as one is found.</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8790"/>
        <w:gridCol w:w="650"/>
      </w:tblGrid>
      <w:tr>
        <w:trPr>
          <w:cantSplit/>
          <w:tblHeader/>
        </w:trPr>
        <w:tc>
          <w:tcPr>
            <w:tcW w:type="dxa" w:w="640"/>
            <w:tcBorders>
              <w:top w:val="single" w:color="BFC2C7" w:sz="4"/>
              <w:left w:val="single" w:color="BFC2C7" w:sz="4"/>
              <w:bottom w:val="single" w:color="BFC2C7" w:sz="4"/>
              <w:right w:val="single" w:color="BFC2C7" w:sz="4"/>
            </w:tcBorders>
            <w:shd w:fill="A61B1B"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8790"/>
            <w:tcBorders>
              <w:top w:val="single" w:color="BFC2C7" w:sz="4"/>
              <w:left w:val="single" w:color="BFC2C7" w:sz="4"/>
              <w:bottom w:val="single" w:color="BFC2C7" w:sz="4"/>
              <w:right w:val="single" w:color="BFC2C7" w:sz="4"/>
            </w:tcBorders>
            <w:shd w:fill="A61B1B"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Red flag that can stop or reprice the merger</w:t>
            </w:r>
          </w:p>
        </w:tc>
        <w:tc>
          <w:tcPr>
            <w:tcW w:type="dxa" w:w="650"/>
            <w:tcBorders>
              <w:top w:val="single" w:color="BFC2C7" w:sz="4"/>
              <w:left w:val="single" w:color="BFC2C7" w:sz="4"/>
              <w:bottom w:val="single" w:color="BFC2C7" w:sz="4"/>
              <w:right w:val="single" w:color="BFC2C7" w:sz="4"/>
            </w:tcBorders>
            <w:shd w:fill="A61B1B"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Found</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A61B1B"/>
                <w:sz w:val="18"/>
                <w:szCs w:val="18"/>
              </w:rPr>
              <w:t xml:space="preserve">R1</w:t>
            </w:r>
          </w:p>
        </w:tc>
        <w:tc>
          <w:tcPr>
            <w:tcW w:type="dxa" w:w="87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Net worth falls below 7% after fair value marks and merger costs.</w:t>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A61B1B"/>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pPr>
            <w:r>
              <w:rPr>
                <w:rFonts w:ascii="Arial" w:cs="Arial" w:eastAsia="Arial" w:hAnsi="Arial"/>
                <w:b/>
                <w:bCs/>
                <w:color w:val="A61B1B"/>
                <w:sz w:val="18"/>
                <w:szCs w:val="18"/>
              </w:rPr>
              <w:t xml:space="preserve">R2</w:t>
            </w:r>
          </w:p>
        </w:tc>
        <w:tc>
          <w:tcPr>
            <w:tcW w:type="dxa" w:w="879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Delinquency, modifications or charge-offs rising, with a reserve that has not kept pace.</w:t>
            </w:r>
          </w:p>
        </w:tc>
        <w:tc>
          <w:tcPr>
            <w:tcW w:type="dxa" w:w="65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A61B1B"/>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A61B1B"/>
                <w:sz w:val="18"/>
                <w:szCs w:val="18"/>
              </w:rPr>
              <w:t xml:space="preserve">R3</w:t>
            </w:r>
          </w:p>
        </w:tc>
        <w:tc>
          <w:tcPr>
            <w:tcW w:type="dxa" w:w="87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Open Documents of Resolution or enforcement actions with no credible plan.</w:t>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A61B1B"/>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pPr>
            <w:r>
              <w:rPr>
                <w:rFonts w:ascii="Arial" w:cs="Arial" w:eastAsia="Arial" w:hAnsi="Arial"/>
                <w:b/>
                <w:bCs/>
                <w:color w:val="A61B1B"/>
                <w:sz w:val="18"/>
                <w:szCs w:val="18"/>
              </w:rPr>
              <w:t xml:space="preserve">R4</w:t>
            </w:r>
          </w:p>
        </w:tc>
        <w:tc>
          <w:tcPr>
            <w:tcW w:type="dxa" w:w="879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Material weakness, going-concern language or unreconciled general ledger accounts.</w:t>
            </w:r>
          </w:p>
        </w:tc>
        <w:tc>
          <w:tcPr>
            <w:tcW w:type="dxa" w:w="65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A61B1B"/>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A61B1B"/>
                <w:sz w:val="18"/>
                <w:szCs w:val="18"/>
              </w:rPr>
              <w:t xml:space="preserve">R5</w:t>
            </w:r>
          </w:p>
        </w:tc>
        <w:tc>
          <w:tcPr>
            <w:tcW w:type="dxa" w:w="87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Undisclosed merger-related pay or benefits for executives or directors.</w:t>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A61B1B"/>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pPr>
            <w:r>
              <w:rPr>
                <w:rFonts w:ascii="Arial" w:cs="Arial" w:eastAsia="Arial" w:hAnsi="Arial"/>
                <w:b/>
                <w:bCs/>
                <w:color w:val="A61B1B"/>
                <w:sz w:val="18"/>
                <w:szCs w:val="18"/>
              </w:rPr>
              <w:t xml:space="preserve">R6</w:t>
            </w:r>
          </w:p>
        </w:tc>
        <w:tc>
          <w:tcPr>
            <w:tcW w:type="dxa" w:w="879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Contract exit costs or executive change-in-control payments that erase the expected savings.</w:t>
            </w:r>
          </w:p>
        </w:tc>
        <w:tc>
          <w:tcPr>
            <w:tcW w:type="dxa" w:w="65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A61B1B"/>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A61B1B"/>
                <w:sz w:val="18"/>
                <w:szCs w:val="18"/>
              </w:rPr>
              <w:t xml:space="preserve">R7</w:t>
            </w:r>
          </w:p>
        </w:tc>
        <w:tc>
          <w:tcPr>
            <w:tcW w:type="dxa" w:w="87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An unreported cyber incident, or critical vulnerabilities left open.</w:t>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A61B1B"/>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pPr>
            <w:r>
              <w:rPr>
                <w:rFonts w:ascii="Arial" w:cs="Arial" w:eastAsia="Arial" w:hAnsi="Arial"/>
                <w:b/>
                <w:bCs/>
                <w:color w:val="A61B1B"/>
                <w:sz w:val="18"/>
                <w:szCs w:val="18"/>
              </w:rPr>
              <w:t xml:space="preserve">R8</w:t>
            </w:r>
          </w:p>
        </w:tc>
        <w:tc>
          <w:tcPr>
            <w:tcW w:type="dxa" w:w="879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Defined benefit pension underfunding or withdrawal liability you would assume.</w:t>
            </w:r>
          </w:p>
        </w:tc>
        <w:tc>
          <w:tcPr>
            <w:tcW w:type="dxa" w:w="65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A61B1B"/>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A61B1B"/>
                <w:sz w:val="18"/>
                <w:szCs w:val="18"/>
              </w:rPr>
              <w:t xml:space="preserve">R9</w:t>
            </w:r>
          </w:p>
        </w:tc>
        <w:tc>
          <w:tcPr>
            <w:tcW w:type="dxa" w:w="87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BSA/AML program failures or a high-risk member base you cannot support.</w:t>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A61B1B"/>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pPr>
            <w:r>
              <w:rPr>
                <w:rFonts w:ascii="Arial" w:cs="Arial" w:eastAsia="Arial" w:hAnsi="Arial"/>
                <w:b/>
                <w:bCs/>
                <w:color w:val="A61B1B"/>
                <w:sz w:val="18"/>
                <w:szCs w:val="18"/>
              </w:rPr>
              <w:t xml:space="preserve">R10</w:t>
            </w:r>
          </w:p>
        </w:tc>
        <w:tc>
          <w:tcPr>
            <w:tcW w:type="dxa" w:w="879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Litigation or claims that could exceed insurance coverage.</w:t>
            </w:r>
          </w:p>
        </w:tc>
        <w:tc>
          <w:tcPr>
            <w:tcW w:type="dxa" w:w="65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A61B1B"/>
                <w:sz w:val="20"/>
                <w:szCs w:val="20"/>
              </w:rPr>
              <w:t xml:space="preserve">☐ </w:t>
            </w:r>
          </w:p>
        </w:tc>
      </w:tr>
    </w:tbl>
    <w:p>
      <w:pPr>
        <w:pStyle w:val="Heading1"/>
        <w:keepNext/>
        <w:pBdr>
          <w:bottom w:val="single" w:color="7AC1EA" w:sz="12" w:space="4"/>
        </w:pBdr>
        <w:spacing w:after="140" w:before="320"/>
      </w:pPr>
      <w:r>
        <w:rPr>
          <w:rFonts w:ascii="Arial" w:cs="Arial" w:eastAsia="Arial" w:hAnsi="Arial"/>
          <w:b/>
          <w:bCs/>
          <w:color w:val="0D2A78"/>
          <w:sz w:val="30"/>
          <w:szCs w:val="30"/>
        </w:rPr>
        <w:t xml:space="preserve">Due diligence sign-off</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480"/>
      </w:tblGrid>
      <w:tr>
        <w:trPr>
          <w:cantSplit/>
          <w:tblHeader/>
        </w:trPr>
        <w:tc>
          <w:tcPr>
            <w:tcW w:type="dxa" w:w="360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Decision</w:t>
            </w:r>
          </w:p>
        </w:tc>
        <w:tc>
          <w:tcPr>
            <w:tcW w:type="dxa" w:w="648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Result</w:t>
            </w:r>
          </w:p>
        </w:tc>
      </w:tr>
      <w:tr>
        <w:trPr>
          <w:cantSplit/>
        </w:trPr>
        <w:tc>
          <w:tcPr>
            <w:tcW w:type="dxa" w:w="36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20"/>
                <w:szCs w:val="20"/>
              </w:rPr>
              <w:t xml:space="preserve">Areas clear</w:t>
            </w:r>
          </w:p>
        </w:tc>
        <w:tc>
          <w:tcPr>
            <w:tcW w:type="dxa" w:w="648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line="320"/>
            </w:pPr>
            <w:r>
              <w:rPr>
                <w:rFonts w:ascii="Arial" w:cs="Arial" w:eastAsia="Arial" w:hAnsi="Arial"/>
                <w:color w:val="1F2937"/>
                <w:sz w:val="18"/>
                <w:szCs w:val="18"/>
              </w:rPr>
              <w:t xml:space="preserve">______ of 16</w:t>
            </w:r>
          </w:p>
        </w:tc>
      </w:tr>
      <w:tr>
        <w:trPr>
          <w:cantSplit/>
        </w:trPr>
        <w:tc>
          <w:tcPr>
            <w:tcW w:type="dxa" w:w="36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20"/>
                <w:szCs w:val="20"/>
              </w:rPr>
              <w:t xml:space="preserve">Areas with issues to resolve</w:t>
            </w:r>
          </w:p>
        </w:tc>
        <w:tc>
          <w:tcPr>
            <w:tcW w:type="dxa" w:w="648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line="320"/>
            </w:pPr>
            <w:r>
              <w:rPr>
                <w:rFonts w:ascii="Arial" w:cs="Arial" w:eastAsia="Arial" w:hAnsi="Arial"/>
                <w:color w:val="1F2937"/>
                <w:sz w:val="18"/>
                <w:szCs w:val="18"/>
              </w:rPr>
              <w:t xml:space="preserve">______ of 16</w:t>
            </w:r>
          </w:p>
        </w:tc>
      </w:tr>
      <w:tr>
        <w:trPr>
          <w:cantSplit/>
        </w:trPr>
        <w:tc>
          <w:tcPr>
            <w:tcW w:type="dxa" w:w="36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20"/>
                <w:szCs w:val="20"/>
              </w:rPr>
              <w:t xml:space="preserve">Red flags found</w:t>
            </w:r>
          </w:p>
        </w:tc>
        <w:tc>
          <w:tcPr>
            <w:tcW w:type="dxa" w:w="648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line="320"/>
            </w:pPr>
            <w:r>
              <w:rPr>
                <w:rFonts w:ascii="Arial" w:cs="Arial" w:eastAsia="Arial" w:hAnsi="Arial"/>
                <w:color w:val="1F2937"/>
                <w:sz w:val="18"/>
                <w:szCs w:val="18"/>
              </w:rPr>
              <w:t xml:space="preserve">______ of 10</w:t>
            </w:r>
          </w:p>
        </w:tc>
      </w:tr>
      <w:tr>
        <w:trPr>
          <w:cantSplit/>
        </w:trPr>
        <w:tc>
          <w:tcPr>
            <w:tcW w:type="dxa" w:w="36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20"/>
                <w:szCs w:val="20"/>
              </w:rPr>
              <w:t xml:space="preserve">Recommendation</w:t>
            </w:r>
          </w:p>
        </w:tc>
        <w:tc>
          <w:tcPr>
            <w:tcW w:type="dxa" w:w="648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line="32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Proceed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Proceed with conditions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Reprice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Do not proceed</w:t>
            </w:r>
          </w:p>
        </w:tc>
      </w:tr>
      <w:tr>
        <w:trPr>
          <w:cantSplit/>
        </w:trPr>
        <w:tc>
          <w:tcPr>
            <w:tcW w:type="dxa" w:w="36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20"/>
                <w:szCs w:val="20"/>
              </w:rPr>
              <w:t xml:space="preserve">Conditions for the merger agreement</w:t>
            </w:r>
          </w:p>
        </w:tc>
        <w:tc>
          <w:tcPr>
            <w:tcW w:type="dxa" w:w="648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line="320"/>
            </w:pPr>
            <w:r>
              <w:rPr>
                <w:rFonts w:ascii="Arial" w:cs="Arial" w:eastAsia="Arial" w:hAnsi="Arial"/>
                <w:color w:val="1F2937"/>
                <w:sz w:val="18"/>
                <w:szCs w:val="18"/>
              </w:rPr>
              <w:t xml:space="preserve">
</w:t>
            </w:r>
          </w:p>
        </w:tc>
      </w:tr>
      <w:tr>
        <w:trPr>
          <w:cantSplit/>
        </w:trPr>
        <w:tc>
          <w:tcPr>
            <w:tcW w:type="dxa" w:w="36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20"/>
                <w:szCs w:val="20"/>
              </w:rPr>
              <w:t xml:space="preserve">Items for the integration plan</w:t>
            </w:r>
          </w:p>
        </w:tc>
        <w:tc>
          <w:tcPr>
            <w:tcW w:type="dxa" w:w="648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line="320"/>
            </w:pPr>
            <w:r>
              <w:rPr>
                <w:rFonts w:ascii="Arial" w:cs="Arial" w:eastAsia="Arial" w:hAnsi="Arial"/>
                <w:color w:val="1F2937"/>
                <w:sz w:val="18"/>
                <w:szCs w:val="18"/>
              </w:rPr>
              <w:t xml:space="preserve">
</w:t>
            </w:r>
          </w:p>
        </w:tc>
      </w:tr>
      <w:tr>
        <w:trPr>
          <w:cantSplit/>
        </w:trPr>
        <w:tc>
          <w:tcPr>
            <w:tcW w:type="dxa" w:w="36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20"/>
                <w:szCs w:val="20"/>
              </w:rPr>
              <w:t xml:space="preserve">Reviewed by (name, title)</w:t>
            </w:r>
          </w:p>
        </w:tc>
        <w:tc>
          <w:tcPr>
            <w:tcW w:type="dxa" w:w="648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line="320"/>
            </w:pPr>
            <w:r>
              <w:rPr>
                <w:rFonts w:ascii="Arial" w:cs="Arial" w:eastAsia="Arial" w:hAnsi="Arial"/>
                <w:color w:val="1F2937"/>
                <w:sz w:val="18"/>
                <w:szCs w:val="18"/>
              </w:rPr>
              <w:t xml:space="preserve"/>
            </w:r>
          </w:p>
        </w:tc>
      </w:tr>
      <w:tr>
        <w:trPr>
          <w:cantSplit/>
        </w:trPr>
        <w:tc>
          <w:tcPr>
            <w:tcW w:type="dxa" w:w="36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20"/>
                <w:szCs w:val="20"/>
              </w:rPr>
              <w:t xml:space="preserve">Date</w:t>
            </w:r>
          </w:p>
        </w:tc>
        <w:tc>
          <w:tcPr>
            <w:tcW w:type="dxa" w:w="648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line="320"/>
            </w:pPr>
            <w:r>
              <w:rPr>
                <w:rFonts w:ascii="Arial" w:cs="Arial" w:eastAsia="Arial" w:hAnsi="Arial"/>
                <w:color w:val="1F2937"/>
                <w:sz w:val="18"/>
                <w:szCs w:val="18"/>
              </w:rPr>
              <w:t xml:space="preserve"/>
            </w:r>
          </w:p>
        </w:tc>
      </w:tr>
    </w:tbl>
    <w:p>
      <w:pPr>
        <w:keepNext w:val="false"/>
        <w:spacing w:after="20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0D2A78" w:color="auto" w:val="clear"/>
            <w:tcMar>
              <w:top w:type="dxa" w:w="50"/>
              <w:left w:type="dxa" w:w="100"/>
              <w:bottom w:type="dxa" w:w="50"/>
              <w:right w:type="dxa" w:w="100"/>
            </w:tcMar>
            <w:vAlign w:val="center"/>
          </w:tcPr>
          <w:p>
            <w:pPr>
              <w:spacing w:after="60" w:before="80"/>
            </w:pPr>
            <w:r>
              <w:rPr>
                <w:rFonts w:ascii="Arial" w:cs="Arial" w:eastAsia="Arial" w:hAnsi="Arial"/>
                <w:b/>
                <w:bCs/>
                <w:color w:val="7AC1EA"/>
                <w:sz w:val="24"/>
                <w:szCs w:val="24"/>
              </w:rPr>
              <w:t xml:space="preserve">Ready to act?</w:t>
            </w:r>
          </w:p>
          <w:p>
            <w:pPr>
              <w:spacing w:after="80"/>
            </w:pPr>
            <w:r>
              <w:rPr>
                <w:rFonts w:ascii="Arial" w:cs="Arial" w:eastAsia="Arial" w:hAnsi="Arial"/>
                <w:color w:val="FFFFFF"/>
                <w:sz w:val="20"/>
                <w:szCs w:val="20"/>
              </w:rPr>
              <w:t xml:space="preserve">SPM leads merger due diligence for both sides, integration planning and post-merger strategic planning and execution, including a populated project management plan with every workstream, owner and milestone. To discuss what SPM can do for your credit union, email </w:t>
            </w:r>
            <w:hyperlink w:history="1" r:id="rIdfwoflypjynhxx6uoc2msk">
              <w:r>
                <w:rPr>
                  <w:rFonts w:ascii="Arial" w:cs="Arial" w:eastAsia="Arial" w:hAnsi="Arial"/>
                  <w:b/>
                  <w:bCs/>
                  <w:color w:val="7AC1EA"/>
                  <w:sz w:val="20"/>
                  <w:szCs w:val="20"/>
                  <w:u w:val="single"/>
                </w:rPr>
                <w:t xml:space="preserve">Info@SPM.Consulting</w:t>
              </w:r>
            </w:hyperlink>
            <w:r>
              <w:rPr>
                <w:rFonts w:ascii="Arial" w:cs="Arial" w:eastAsia="Arial" w:hAnsi="Arial"/>
                <w:color w:val="FFFFFF"/>
                <w:sz w:val="20"/>
                <w:szCs w:val="20"/>
              </w:rPr>
              <w:t xml:space="preserve">.</w:t>
            </w:r>
          </w:p>
        </w:tc>
      </w:tr>
    </w:tbl>
    <w:p>
      <w:pPr>
        <w:keepNext w:val="false"/>
        <w:spacing w:after="120"/>
      </w:pPr>
    </w:p>
    <w:p>
      <w:pPr>
        <w:spacing w:after="100" w:line="276"/>
      </w:pPr>
      <w:r>
        <w:rPr>
          <w:rFonts w:ascii="Arial" w:cs="Arial" w:eastAsia="Arial" w:hAnsi="Arial"/>
          <w:color w:val="6B7280"/>
          <w:sz w:val="16"/>
          <w:szCs w:val="16"/>
        </w:rPr>
        <w:t xml:space="preserve">This checklist supports the surviving credit union's due diligence. It is not legal, accounting or regulatory advice. Confirm requirements with NCUA, your state regulator, auditors and counsel. Regulatory references reflect NCUA Part 708b as of October 2026.</w:t>
      </w:r>
    </w:p>
    <w:sectPr>
      <w:headerReference w:type="default" r:id="rId7"/>
      <w:headerReference w:type="first" r:id="rId8"/>
      <w:footerReference w:type="default" r:id="rId9"/>
      <w:footerReference w:type="first" r:id="rId10"/>
      <w:pgSz w:w="12240" w:h="15840" w:orient="portrait"/>
      <w:pgMar w:top="1080" w:right="1080" w:bottom="1000" w:left="1080" w:header="500" w:footer="5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2C7" w:sz="4" w:space="4"/>
      </w:pBdr>
      <w:tabs>
        <w:tab w:val="center" w:pos="5040"/>
        <w:tab w:val="right" w:pos="10080"/>
      </w:tabs>
    </w:pPr>
    <w:r>
      <w:rPr>
        <w:rFonts w:ascii="Arial" w:cs="Arial" w:eastAsia="Arial" w:hAnsi="Arial"/>
        <w:color w:val="6B7280"/>
        <w:sz w:val="14"/>
        <w:szCs w:val="14"/>
      </w:rPr>
      <w:t xml:space="preserve">SPM MERGER DUE DILIGENCE ESSENTIALS</w:t>
    </w:r>
    <w:r>
      <w:rPr>
        <w:rFonts w:ascii="Arial" w:cs="Arial" w:eastAsia="Arial" w:hAnsi="Arial"/>
        <w:b/>
        <w:bCs/>
        <w:color w:val="0D2A78"/>
        <w:sz w:val="14"/>
        <w:szCs w:val="14"/>
      </w:rPr>
      <w:t xml:space="preserve">	Info@SPM.Consulting</w:t>
    </w:r>
    <w:r>
      <w:rPr>
        <w:rFonts w:ascii="Arial" w:cs="Arial" w:eastAsia="Arial" w:hAnsi="Arial"/>
        <w:color w:val="6B7280"/>
        <w:sz w:val="14"/>
        <w:szCs w:val="14"/>
      </w:rPr>
      <w:t xml:space="preserve">	Page </w:t>
    </w:r>
    <w:r>
      <w:rPr>
        <w:rFonts w:ascii="Arial" w:cs="Arial" w:eastAsia="Arial" w:hAnsi="Arial"/>
        <w:color w:val="6B7280"/>
        <w:sz w:val="14"/>
        <w:szCs w:val="14"/>
      </w:rPr>
      <w:fldChar w:fldCharType="begin"/>
      <w:instrText xml:space="preserve">PAGE</w:instrText>
      <w:fldChar w:fldCharType="separate"/>
      <w:fldChar w:fldCharType="end"/>
    </w:r>
  </w:p>
  <w:p>
    <w:pPr>
      <w:spacing w:before="40"/>
      <w:jc w:val="center"/>
    </w:pPr>
    <w:r>
      <w:rPr>
        <w:rFonts w:ascii="Arial" w:cs="Arial" w:eastAsia="Arial" w:hAnsi="Arial"/>
        <w:color w:val="6B7280"/>
        <w:sz w:val="13"/>
        <w:szCs w:val="13"/>
      </w:rPr>
      <w:t xml:space="preserve">© 2026 SPM Strategic Process Management.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2C7" w:sz="4" w:space="4"/>
      </w:pBdr>
      <w:tabs>
        <w:tab w:val="center" w:pos="5040"/>
        <w:tab w:val="right" w:pos="10080"/>
      </w:tabs>
    </w:pPr>
    <w:r>
      <w:rPr>
        <w:rFonts w:ascii="Arial" w:cs="Arial" w:eastAsia="Arial" w:hAnsi="Arial"/>
        <w:color w:val="6B7280"/>
        <w:sz w:val="14"/>
        <w:szCs w:val="14"/>
      </w:rPr>
      <w:t xml:space="preserve">SPM MERGER DUE DILIGENCE ESSENTIALS</w:t>
    </w:r>
    <w:r>
      <w:rPr>
        <w:rFonts w:ascii="Arial" w:cs="Arial" w:eastAsia="Arial" w:hAnsi="Arial"/>
        <w:b/>
        <w:bCs/>
        <w:color w:val="0D2A78"/>
        <w:sz w:val="14"/>
        <w:szCs w:val="14"/>
      </w:rPr>
      <w:t xml:space="preserve">	Info@SPM.Consulting</w:t>
    </w:r>
    <w:r>
      <w:rPr>
        <w:rFonts w:ascii="Arial" w:cs="Arial" w:eastAsia="Arial" w:hAnsi="Arial"/>
        <w:color w:val="6B7280"/>
        <w:sz w:val="14"/>
        <w:szCs w:val="14"/>
      </w:rPr>
      <w:t xml:space="preserve">	Page </w:t>
    </w:r>
    <w:r>
      <w:rPr>
        <w:rFonts w:ascii="Arial" w:cs="Arial" w:eastAsia="Arial" w:hAnsi="Arial"/>
        <w:color w:val="6B7280"/>
        <w:sz w:val="14"/>
        <w:szCs w:val="14"/>
      </w:rPr>
      <w:fldChar w:fldCharType="begin"/>
      <w:instrText xml:space="preserve">PAGE</w:instrText>
      <w:fldChar w:fldCharType="separate"/>
      <w:fldChar w:fldCharType="end"/>
    </w:r>
  </w:p>
  <w:p>
    <w:pPr>
      <w:spacing w:before="40"/>
      <w:jc w:val="center"/>
    </w:pPr>
    <w:r>
      <w:rPr>
        <w:rFonts w:ascii="Arial" w:cs="Arial" w:eastAsia="Arial" w:hAnsi="Arial"/>
        <w:color w:val="6B7280"/>
        <w:sz w:val="13"/>
        <w:szCs w:val="13"/>
      </w:rPr>
      <w:t xml:space="preserve">© 2026 SPM Strategic Process Management.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7AC1EA" w:sz="6" w:space="4"/>
      </w:pBdr>
      <w:tabs>
        <w:tab w:val="right" w:pos="10080"/>
      </w:tabs>
    </w:pPr>
    <w:r>
      <w:drawing>
        <wp:inline distT="0" distB="0" distL="0" distR="0">
          <wp:extent cx="1047750" cy="371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371475"/>
                  </a:xfrm>
                  <a:prstGeom prst="rect">
                    <a:avLst/>
                  </a:prstGeom>
                </pic:spPr>
              </pic:pic>
            </a:graphicData>
          </a:graphic>
        </wp:inline>
      </w:drawing>
    </w:r>
    <w:r>
      <w:rPr>
        <w:rFonts w:ascii="Arial" w:cs="Arial" w:eastAsia="Arial" w:hAnsi="Arial"/>
        <w:b/>
        <w:bCs/>
        <w:color w:val="0D2A78"/>
        <w:sz w:val="16"/>
        <w:szCs w:val="16"/>
      </w:rPr>
      <w:t xml:space="preserve">	MERGER DUE DILIGENCE ESSENTIALS: SURVIVOR EDITION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rFonts w:ascii="Arial" w:cs="Arial" w:eastAsia="Arial" w:hAnsi="Arial"/>
        <w:b/>
        <w:bCs/>
        <w:color w:val="0D2A7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937"/>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0D2A78"/>
      <w:sz w:val="30"/>
      <w:szCs w:val="30"/>
    </w:rPr>
  </w:style>
  <w:style w:type="paragraph" w:styleId="Heading2">
    <w:name w:val="Heading 2"/>
    <w:basedOn w:val="Normal"/>
    <w:next w:val="Normal"/>
    <w:qFormat/>
    <w:pPr>
      <w:outlineLvl w:val="1"/>
    </w:pPr>
    <w:rPr>
      <w:rFonts w:ascii="Arial" w:cs="Arial" w:eastAsia="Arial" w:hAnsi="Arial"/>
      <w:b/>
      <w:bCs/>
      <w:color w:val="091B4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9bdf5cfejh4xqjovhvdey" Type="http://schemas.openxmlformats.org/officeDocument/2006/relationships/hyperlink" Target="https://spm-merger-analysis.pplx.app" TargetMode="External"/><Relationship Id="rIdfwoflypjynhxx6uoc2msk" Type="http://schemas.openxmlformats.org/officeDocument/2006/relationships/hyperlink" Target="mailto:Info@SPM.Consulting" TargetMode="External"/><Relationship Id="rId11" Type="http://schemas.openxmlformats.org/officeDocument/2006/relationships/image" Target="media/950175dba070eb23dcd7a22a5cda6e67065f517e.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50175dba070eb23dcd7a22a5cda6e67065f517e.jp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SPM CREDIT UNION MERGER DUE DILIGENCE ESSENTIALS: SURVIVOR EDITION</dc:title>
  <dc:creator>SPM Strategic Process Management</dc:creator>
  <cp:lastModifiedBy>Un-named</cp:lastModifiedBy>
  <cp:revision>1</cp:revision>
  <dcterms:created xsi:type="dcterms:W3CDTF">2026-10-24T14:15:57.112Z</dcterms:created>
  <dcterms:modified xsi:type="dcterms:W3CDTF">2026-10-24T14:15:57.112Z</dcterms:modified>
</cp:coreProperties>
</file>

<file path=docProps/custom.xml><?xml version="1.0" encoding="utf-8"?>
<Properties xmlns="http://schemas.openxmlformats.org/officeDocument/2006/custom-properties" xmlns:vt="http://schemas.openxmlformats.org/officeDocument/2006/docPropsVTypes"/>
</file>